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A4A5D" w:rsidRPr="00463248" w:rsidRDefault="00AA4A5D" w:rsidP="00224D30">
      <w:pPr>
        <w:pStyle w:val="Header"/>
        <w:tabs>
          <w:tab w:val="clear" w:pos="4320"/>
          <w:tab w:val="clear" w:pos="8640"/>
          <w:tab w:val="right" w:pos="9072"/>
        </w:tabs>
        <w:jc w:val="both"/>
        <w:rPr>
          <w:rFonts w:cs="Arial"/>
          <w:b/>
          <w:bCs/>
          <w:sz w:val="22"/>
          <w:szCs w:val="22"/>
          <w:lang w:val="en-AU"/>
        </w:rPr>
      </w:pPr>
      <w:bookmarkStart w:id="0" w:name="_GoBack"/>
      <w:bookmarkEnd w:id="0"/>
      <w:r w:rsidRPr="00463248">
        <w:rPr>
          <w:rFonts w:ascii="Arial" w:hAnsi="Arial" w:cs="Arial"/>
          <w:b/>
          <w:bCs/>
          <w:sz w:val="22"/>
          <w:szCs w:val="22"/>
          <w:lang w:val="en-AU"/>
        </w:rPr>
        <w:t>3GPP TSG RAN</w:t>
      </w:r>
      <w:r w:rsidR="007D6811" w:rsidRPr="00463248">
        <w:rPr>
          <w:rFonts w:ascii="Arial" w:hAnsi="Arial" w:cs="Arial"/>
          <w:b/>
          <w:bCs/>
          <w:sz w:val="22"/>
          <w:szCs w:val="22"/>
          <w:lang w:val="en-AU"/>
        </w:rPr>
        <w:t xml:space="preserve"> WG1 Meeting #82</w:t>
      </w:r>
      <w:r w:rsidRPr="00463248">
        <w:rPr>
          <w:rFonts w:ascii="Arial" w:hAnsi="Arial" w:cs="Arial"/>
          <w:b/>
          <w:bCs/>
          <w:sz w:val="22"/>
          <w:szCs w:val="22"/>
          <w:lang w:val="en-AU"/>
        </w:rPr>
        <w:tab/>
      </w:r>
      <w:r w:rsidRPr="00463248">
        <w:rPr>
          <w:rFonts w:ascii="Arial" w:hAnsi="Arial" w:cs="Arial"/>
          <w:b/>
          <w:bCs/>
          <w:sz w:val="22"/>
          <w:lang w:val="en-AU"/>
        </w:rPr>
        <w:t>R</w:t>
      </w:r>
      <w:r w:rsidR="008773C7" w:rsidRPr="00463248">
        <w:rPr>
          <w:rFonts w:ascii="Arial" w:hAnsi="Arial" w:cs="Arial"/>
          <w:b/>
          <w:bCs/>
          <w:sz w:val="22"/>
          <w:lang w:val="en-AU"/>
        </w:rPr>
        <w:t>1</w:t>
      </w:r>
      <w:r w:rsidRPr="00463248">
        <w:rPr>
          <w:rFonts w:ascii="Arial" w:hAnsi="Arial" w:cs="Arial"/>
          <w:b/>
          <w:bCs/>
          <w:sz w:val="22"/>
          <w:lang w:val="en-AU"/>
        </w:rPr>
        <w:t>-1</w:t>
      </w:r>
      <w:r w:rsidR="008773C7" w:rsidRPr="00463248">
        <w:rPr>
          <w:rFonts w:ascii="Arial" w:hAnsi="Arial" w:cs="Arial"/>
          <w:b/>
          <w:bCs/>
          <w:sz w:val="22"/>
          <w:lang w:val="en-AU"/>
        </w:rPr>
        <w:t>5</w:t>
      </w:r>
      <w:r w:rsidR="00C87651">
        <w:rPr>
          <w:rFonts w:ascii="Arial" w:hAnsi="Arial" w:cs="Arial"/>
          <w:b/>
          <w:bCs/>
          <w:sz w:val="22"/>
          <w:lang w:val="en-AU"/>
        </w:rPr>
        <w:t>4194</w:t>
      </w:r>
    </w:p>
    <w:p w:rsidR="00AA4A5D" w:rsidRPr="00463248" w:rsidRDefault="007D6811" w:rsidP="00224D30">
      <w:pPr>
        <w:pStyle w:val="Header"/>
        <w:jc w:val="both"/>
        <w:rPr>
          <w:rFonts w:ascii="Arial" w:hAnsi="Arial" w:cs="Arial"/>
          <w:b/>
          <w:bCs/>
          <w:sz w:val="22"/>
          <w:szCs w:val="22"/>
          <w:lang w:val="en-AU"/>
        </w:rPr>
      </w:pPr>
      <w:r w:rsidRPr="00463248">
        <w:rPr>
          <w:rFonts w:ascii="Arial" w:hAnsi="Arial" w:cs="Arial"/>
          <w:b/>
          <w:bCs/>
          <w:sz w:val="22"/>
          <w:szCs w:val="22"/>
          <w:lang w:val="en-AU"/>
        </w:rPr>
        <w:t>Beijing</w:t>
      </w:r>
      <w:r w:rsidR="008773C7" w:rsidRPr="00463248">
        <w:rPr>
          <w:rFonts w:ascii="Arial" w:hAnsi="Arial" w:cs="Arial"/>
          <w:b/>
          <w:bCs/>
          <w:sz w:val="22"/>
          <w:szCs w:val="22"/>
          <w:lang w:val="en-AU"/>
        </w:rPr>
        <w:t xml:space="preserve">, </w:t>
      </w:r>
      <w:r w:rsidRPr="00463248">
        <w:rPr>
          <w:rFonts w:ascii="Arial" w:hAnsi="Arial" w:cs="Arial"/>
          <w:b/>
          <w:bCs/>
          <w:sz w:val="22"/>
          <w:szCs w:val="22"/>
          <w:lang w:val="en-AU"/>
        </w:rPr>
        <w:t>CHINA</w:t>
      </w:r>
      <w:r w:rsidR="008773C7" w:rsidRPr="00463248">
        <w:rPr>
          <w:rFonts w:ascii="Arial" w:hAnsi="Arial" w:cs="Arial"/>
          <w:b/>
          <w:bCs/>
          <w:sz w:val="22"/>
          <w:szCs w:val="22"/>
          <w:lang w:val="en-AU"/>
        </w:rPr>
        <w:t>, 2</w:t>
      </w:r>
      <w:r w:rsidRPr="00463248">
        <w:rPr>
          <w:rFonts w:ascii="Arial" w:hAnsi="Arial" w:cs="Arial"/>
          <w:b/>
          <w:bCs/>
          <w:sz w:val="22"/>
          <w:szCs w:val="22"/>
          <w:lang w:val="en-AU"/>
        </w:rPr>
        <w:t>4</w:t>
      </w:r>
      <w:r w:rsidR="008773C7" w:rsidRPr="00463248">
        <w:rPr>
          <w:rFonts w:ascii="Arial" w:hAnsi="Arial" w:cs="Arial"/>
          <w:b/>
          <w:bCs/>
          <w:sz w:val="22"/>
          <w:szCs w:val="22"/>
          <w:lang w:val="en-AU"/>
        </w:rPr>
        <w:t xml:space="preserve"> – </w:t>
      </w:r>
      <w:r w:rsidR="00AA4A5D" w:rsidRPr="00463248">
        <w:rPr>
          <w:rFonts w:ascii="Arial" w:hAnsi="Arial" w:cs="Arial"/>
          <w:b/>
          <w:bCs/>
          <w:sz w:val="22"/>
          <w:szCs w:val="22"/>
          <w:lang w:val="en-AU"/>
        </w:rPr>
        <w:t>2</w:t>
      </w:r>
      <w:r w:rsidRPr="00463248">
        <w:rPr>
          <w:rFonts w:ascii="Arial" w:hAnsi="Arial" w:cs="Arial"/>
          <w:b/>
          <w:bCs/>
          <w:sz w:val="22"/>
          <w:szCs w:val="22"/>
          <w:lang w:val="en-AU"/>
        </w:rPr>
        <w:t>8</w:t>
      </w:r>
      <w:r w:rsidR="00AA4A5D" w:rsidRPr="00463248">
        <w:rPr>
          <w:rFonts w:ascii="Arial" w:hAnsi="Arial" w:cs="Arial"/>
          <w:b/>
          <w:bCs/>
          <w:sz w:val="22"/>
          <w:szCs w:val="22"/>
          <w:lang w:val="en-AU"/>
        </w:rPr>
        <w:t xml:space="preserve"> </w:t>
      </w:r>
      <w:r w:rsidRPr="00463248">
        <w:rPr>
          <w:rFonts w:ascii="Arial" w:hAnsi="Arial" w:cs="Arial"/>
          <w:b/>
          <w:bCs/>
          <w:sz w:val="22"/>
          <w:szCs w:val="22"/>
          <w:lang w:val="en-AU"/>
        </w:rPr>
        <w:t>August</w:t>
      </w:r>
      <w:r w:rsidR="00AA4A5D" w:rsidRPr="00463248">
        <w:rPr>
          <w:rFonts w:ascii="Arial" w:hAnsi="Arial" w:cs="Arial"/>
          <w:b/>
          <w:bCs/>
          <w:sz w:val="22"/>
          <w:szCs w:val="22"/>
          <w:lang w:val="en-AU"/>
        </w:rPr>
        <w:t xml:space="preserve"> 2015</w:t>
      </w:r>
    </w:p>
    <w:p w:rsidR="00AA4A5D" w:rsidRPr="00463248" w:rsidRDefault="00AA4A5D" w:rsidP="00224D30">
      <w:pPr>
        <w:pStyle w:val="Header"/>
        <w:jc w:val="both"/>
        <w:rPr>
          <w:b/>
          <w:bCs/>
          <w:lang w:val="en-AU"/>
        </w:rPr>
      </w:pPr>
    </w:p>
    <w:p w:rsidR="00AA4A5D" w:rsidRPr="00463248" w:rsidRDefault="00AA4A5D" w:rsidP="00224D30">
      <w:pPr>
        <w:tabs>
          <w:tab w:val="left" w:pos="1820"/>
        </w:tabs>
        <w:spacing w:after="60"/>
        <w:jc w:val="both"/>
        <w:rPr>
          <w:rFonts w:ascii="Arial" w:hAnsi="Arial" w:cs="Arial"/>
          <w:b/>
          <w:bCs/>
          <w:lang w:val="en-AU"/>
        </w:rPr>
      </w:pPr>
      <w:r w:rsidRPr="00463248">
        <w:rPr>
          <w:rFonts w:ascii="Arial" w:hAnsi="Arial" w:cs="Arial"/>
          <w:b/>
          <w:lang w:val="en-AU"/>
        </w:rPr>
        <w:t>Agenda Item:</w:t>
      </w:r>
      <w:r w:rsidR="008773C7" w:rsidRPr="00463248">
        <w:rPr>
          <w:rFonts w:ascii="Arial" w:hAnsi="Arial" w:cs="Arial"/>
          <w:b/>
          <w:bCs/>
          <w:lang w:val="en-AU"/>
        </w:rPr>
        <w:tab/>
      </w:r>
      <w:r w:rsidR="0089108A" w:rsidRPr="00463248">
        <w:rPr>
          <w:rFonts w:ascii="Arial" w:hAnsi="Arial" w:cs="Arial"/>
          <w:b/>
          <w:bCs/>
          <w:lang w:val="en-AU"/>
        </w:rPr>
        <w:t>7</w:t>
      </w:r>
      <w:r w:rsidR="00846F72" w:rsidRPr="00463248">
        <w:rPr>
          <w:rFonts w:ascii="Arial" w:hAnsi="Arial" w:cs="Arial"/>
          <w:b/>
          <w:bCs/>
          <w:lang w:val="en-AU"/>
        </w:rPr>
        <w:t>.2.8</w:t>
      </w:r>
      <w:r w:rsidR="00C479EA" w:rsidRPr="00463248">
        <w:rPr>
          <w:rFonts w:ascii="Arial" w:hAnsi="Arial" w:cs="Arial"/>
          <w:b/>
          <w:bCs/>
          <w:lang w:val="en-AU"/>
        </w:rPr>
        <w:t>.1</w:t>
      </w:r>
      <w:r w:rsidR="00846F72" w:rsidRPr="00463248">
        <w:rPr>
          <w:rFonts w:ascii="Arial" w:hAnsi="Arial" w:cs="Arial"/>
          <w:b/>
          <w:bCs/>
          <w:lang w:val="en-AU"/>
        </w:rPr>
        <w:t>.1</w:t>
      </w:r>
    </w:p>
    <w:p w:rsidR="00AA4A5D" w:rsidRPr="00463248" w:rsidRDefault="00AA4A5D" w:rsidP="00224D30">
      <w:pPr>
        <w:tabs>
          <w:tab w:val="left" w:pos="1820"/>
        </w:tabs>
        <w:spacing w:after="60"/>
        <w:jc w:val="both"/>
        <w:rPr>
          <w:rFonts w:ascii="Arial" w:hAnsi="Arial" w:cs="Arial"/>
          <w:b/>
          <w:bCs/>
          <w:lang w:val="en-AU"/>
        </w:rPr>
      </w:pPr>
      <w:r w:rsidRPr="00463248">
        <w:rPr>
          <w:rFonts w:ascii="Arial" w:hAnsi="Arial" w:cs="Arial"/>
          <w:b/>
          <w:lang w:val="en-AU"/>
        </w:rPr>
        <w:t>Source:</w:t>
      </w:r>
      <w:r w:rsidRPr="00463248">
        <w:rPr>
          <w:rFonts w:ascii="Arial" w:hAnsi="Arial" w:cs="Arial"/>
          <w:b/>
          <w:bCs/>
          <w:lang w:val="en-AU"/>
        </w:rPr>
        <w:t xml:space="preserve"> </w:t>
      </w:r>
      <w:r w:rsidRPr="00463248">
        <w:rPr>
          <w:rFonts w:ascii="Arial" w:hAnsi="Arial" w:cs="Arial"/>
          <w:b/>
          <w:bCs/>
          <w:lang w:val="en-AU"/>
        </w:rPr>
        <w:tab/>
        <w:t>NEC</w:t>
      </w:r>
    </w:p>
    <w:p w:rsidR="00AA4A5D" w:rsidRPr="00463248" w:rsidRDefault="00AA4A5D" w:rsidP="00224D30">
      <w:pPr>
        <w:tabs>
          <w:tab w:val="left" w:pos="1820"/>
        </w:tabs>
        <w:spacing w:after="60"/>
        <w:ind w:left="1820" w:hanging="1820"/>
        <w:jc w:val="both"/>
        <w:rPr>
          <w:rFonts w:ascii="Arial" w:hAnsi="Arial" w:cs="Arial"/>
          <w:b/>
          <w:lang w:val="en-AU"/>
        </w:rPr>
      </w:pPr>
      <w:r w:rsidRPr="00463248">
        <w:rPr>
          <w:rFonts w:ascii="Arial" w:hAnsi="Arial" w:cs="Arial"/>
          <w:b/>
          <w:lang w:val="en-AU"/>
        </w:rPr>
        <w:t>Title:</w:t>
      </w:r>
      <w:r w:rsidRPr="00463248">
        <w:rPr>
          <w:rFonts w:ascii="Arial" w:hAnsi="Arial" w:cs="Arial"/>
          <w:b/>
          <w:bCs/>
          <w:lang w:val="en-AU"/>
        </w:rPr>
        <w:tab/>
      </w:r>
      <w:r w:rsidR="008E25AA">
        <w:rPr>
          <w:rFonts w:ascii="Arial" w:hAnsi="Arial" w:cs="Arial"/>
          <w:b/>
          <w:bCs/>
          <w:lang w:val="en-AU"/>
        </w:rPr>
        <w:t>Deployment scenarios of</w:t>
      </w:r>
      <w:r w:rsidR="00846F72" w:rsidRPr="00463248">
        <w:rPr>
          <w:rFonts w:ascii="Arial" w:hAnsi="Arial" w:cs="Arial"/>
          <w:b/>
          <w:bCs/>
          <w:lang w:val="en-AU"/>
        </w:rPr>
        <w:t xml:space="preserve"> LTE-based V2X</w:t>
      </w:r>
    </w:p>
    <w:p w:rsidR="00AA4A5D" w:rsidRPr="00463248" w:rsidRDefault="00AA4A5D" w:rsidP="00224D30">
      <w:pPr>
        <w:pBdr>
          <w:bottom w:val="single" w:sz="6" w:space="7" w:color="auto"/>
        </w:pBdr>
        <w:tabs>
          <w:tab w:val="left" w:pos="1820"/>
        </w:tabs>
        <w:jc w:val="both"/>
        <w:rPr>
          <w:rFonts w:ascii="Arial" w:eastAsia="MS Mincho" w:hAnsi="Arial" w:cs="Arial"/>
          <w:b/>
          <w:bCs/>
          <w:lang w:val="en-AU" w:eastAsia="ja-JP"/>
        </w:rPr>
      </w:pPr>
      <w:r w:rsidRPr="00463248">
        <w:rPr>
          <w:rFonts w:ascii="Arial" w:hAnsi="Arial" w:cs="Arial"/>
          <w:b/>
          <w:lang w:val="en-AU"/>
        </w:rPr>
        <w:t>Document for:</w:t>
      </w:r>
      <w:r w:rsidRPr="00463248">
        <w:rPr>
          <w:rFonts w:ascii="Arial" w:hAnsi="Arial" w:cs="Arial"/>
          <w:b/>
          <w:bCs/>
          <w:lang w:val="en-AU"/>
        </w:rPr>
        <w:tab/>
      </w:r>
      <w:r w:rsidR="00907F18" w:rsidRPr="00463248">
        <w:rPr>
          <w:rFonts w:ascii="Arial" w:hAnsi="Arial" w:cs="Arial"/>
          <w:b/>
          <w:bCs/>
          <w:lang w:val="en-AU"/>
        </w:rPr>
        <w:t>Discussion</w:t>
      </w:r>
      <w:r w:rsidR="008773C7" w:rsidRPr="00463248">
        <w:rPr>
          <w:rFonts w:ascii="Arial" w:hAnsi="Arial" w:cs="Arial"/>
          <w:b/>
          <w:bCs/>
          <w:lang w:val="en-AU"/>
        </w:rPr>
        <w:t>/Decision</w:t>
      </w:r>
    </w:p>
    <w:p w:rsidR="00AA4A5D" w:rsidRPr="00463248" w:rsidRDefault="00AA4A5D" w:rsidP="00224D30">
      <w:pPr>
        <w:pStyle w:val="Heading1"/>
        <w:spacing w:after="120"/>
        <w:jc w:val="both"/>
        <w:rPr>
          <w:bCs w:val="0"/>
          <w:sz w:val="24"/>
          <w:szCs w:val="22"/>
          <w:lang w:val="en-AU"/>
        </w:rPr>
      </w:pPr>
      <w:r w:rsidRPr="00463248">
        <w:rPr>
          <w:bCs w:val="0"/>
          <w:sz w:val="24"/>
          <w:szCs w:val="22"/>
          <w:lang w:val="en-AU"/>
        </w:rPr>
        <w:t>Introduction</w:t>
      </w:r>
    </w:p>
    <w:p w:rsidR="007D43FD" w:rsidRPr="00463248" w:rsidRDefault="009C1EF4" w:rsidP="00224D30">
      <w:pPr>
        <w:spacing w:after="120"/>
        <w:jc w:val="both"/>
        <w:rPr>
          <w:bCs/>
          <w:sz w:val="22"/>
          <w:szCs w:val="22"/>
          <w:lang w:val="en-AU" w:eastAsia="en-AU"/>
        </w:rPr>
      </w:pPr>
      <w:r w:rsidRPr="00463248">
        <w:rPr>
          <w:bCs/>
          <w:sz w:val="22"/>
          <w:szCs w:val="22"/>
          <w:lang w:val="en-AU" w:eastAsia="en-AU"/>
        </w:rPr>
        <w:t>In RAN#68, a RAN level study item for LTE-based V2X services was approved in [1] with a study scope mainly traces from an existing technical report [2] being progressed</w:t>
      </w:r>
      <w:r w:rsidR="00E734DC" w:rsidRPr="00463248">
        <w:rPr>
          <w:bCs/>
          <w:sz w:val="22"/>
          <w:szCs w:val="22"/>
          <w:lang w:val="en-AU" w:eastAsia="en-AU"/>
        </w:rPr>
        <w:t xml:space="preserve"> </w:t>
      </w:r>
      <w:r w:rsidRPr="00463248">
        <w:rPr>
          <w:bCs/>
          <w:sz w:val="22"/>
          <w:szCs w:val="22"/>
          <w:lang w:val="en-AU" w:eastAsia="en-AU"/>
        </w:rPr>
        <w:t xml:space="preserve">in SA1. Based on the captured use cases in the TR, in this contribution, we summarise possible deployment scenarios that should be focused on and raise some possible </w:t>
      </w:r>
      <w:r w:rsidR="001B6344">
        <w:rPr>
          <w:bCs/>
          <w:sz w:val="22"/>
          <w:szCs w:val="22"/>
          <w:lang w:val="en-AU" w:eastAsia="en-AU"/>
        </w:rPr>
        <w:t>assumptions</w:t>
      </w:r>
      <w:r w:rsidRPr="00463248">
        <w:rPr>
          <w:bCs/>
          <w:sz w:val="22"/>
          <w:szCs w:val="22"/>
          <w:lang w:val="en-AU" w:eastAsia="en-AU"/>
        </w:rPr>
        <w:t xml:space="preserve"> for further </w:t>
      </w:r>
      <w:r w:rsidR="005E533A" w:rsidRPr="00463248">
        <w:rPr>
          <w:bCs/>
          <w:sz w:val="22"/>
          <w:szCs w:val="22"/>
          <w:lang w:val="en-AU" w:eastAsia="en-AU"/>
        </w:rPr>
        <w:t>consideration during this SI</w:t>
      </w:r>
      <w:r w:rsidRPr="00463248">
        <w:rPr>
          <w:bCs/>
          <w:sz w:val="22"/>
          <w:szCs w:val="22"/>
          <w:lang w:val="en-AU" w:eastAsia="en-AU"/>
        </w:rPr>
        <w:t>.</w:t>
      </w:r>
    </w:p>
    <w:p w:rsidR="007D43FD" w:rsidRPr="00463248" w:rsidRDefault="007D43FD" w:rsidP="00224D30">
      <w:pPr>
        <w:pStyle w:val="Heading1"/>
        <w:spacing w:after="120"/>
        <w:jc w:val="both"/>
        <w:rPr>
          <w:sz w:val="24"/>
          <w:szCs w:val="22"/>
          <w:lang w:val="en-AU" w:eastAsia="en-AU"/>
        </w:rPr>
      </w:pPr>
      <w:r w:rsidRPr="00463248">
        <w:rPr>
          <w:sz w:val="24"/>
          <w:szCs w:val="22"/>
          <w:lang w:val="en-AU" w:eastAsia="en-AU"/>
        </w:rPr>
        <w:t>Discussion</w:t>
      </w:r>
    </w:p>
    <w:p w:rsidR="007D43FD" w:rsidRPr="00463248" w:rsidRDefault="005E533A" w:rsidP="006C0959">
      <w:pPr>
        <w:pStyle w:val="Heading2"/>
        <w:tabs>
          <w:tab w:val="clear" w:pos="2694"/>
        </w:tabs>
        <w:spacing w:after="120"/>
        <w:ind w:left="567"/>
        <w:jc w:val="both"/>
        <w:rPr>
          <w:sz w:val="22"/>
          <w:lang w:val="en-AU" w:eastAsia="en-AU"/>
        </w:rPr>
      </w:pPr>
      <w:r w:rsidRPr="00463248">
        <w:rPr>
          <w:sz w:val="22"/>
          <w:lang w:val="en-AU" w:eastAsia="en-AU"/>
        </w:rPr>
        <w:t>Deployment scenarios</w:t>
      </w:r>
    </w:p>
    <w:p w:rsidR="007E6374" w:rsidRPr="00463248" w:rsidRDefault="007073ED" w:rsidP="00E3157D">
      <w:pPr>
        <w:spacing w:after="120"/>
        <w:jc w:val="both"/>
        <w:rPr>
          <w:bCs/>
          <w:sz w:val="22"/>
          <w:szCs w:val="22"/>
          <w:lang w:val="en-AU" w:eastAsia="en-AU"/>
        </w:rPr>
      </w:pPr>
      <w:r w:rsidRPr="00463248">
        <w:rPr>
          <w:bCs/>
          <w:sz w:val="22"/>
          <w:szCs w:val="22"/>
          <w:lang w:val="en-AU" w:eastAsia="en-AU"/>
        </w:rPr>
        <w:t xml:space="preserve">From SA1 technical report [2] and </w:t>
      </w:r>
      <w:r w:rsidR="00C6526D" w:rsidRPr="00463248">
        <w:rPr>
          <w:bCs/>
          <w:sz w:val="22"/>
          <w:szCs w:val="22"/>
          <w:lang w:val="en-AU" w:eastAsia="en-AU"/>
        </w:rPr>
        <w:t>this SID [1], we envision</w:t>
      </w:r>
      <w:r w:rsidRPr="00463248">
        <w:rPr>
          <w:bCs/>
          <w:sz w:val="22"/>
          <w:szCs w:val="22"/>
          <w:lang w:val="en-AU" w:eastAsia="en-AU"/>
        </w:rPr>
        <w:t xml:space="preserve"> three main deployment scenarios that should be focused on and they can be depicted using the following two </w:t>
      </w:r>
      <w:r w:rsidR="00B01426" w:rsidRPr="00463248">
        <w:rPr>
          <w:bCs/>
          <w:sz w:val="22"/>
          <w:szCs w:val="22"/>
          <w:lang w:val="en-AU" w:eastAsia="en-AU"/>
        </w:rPr>
        <w:t>diagrams</w:t>
      </w:r>
      <w:r w:rsidRPr="00463248">
        <w:rPr>
          <w:bCs/>
          <w:sz w:val="22"/>
          <w:szCs w:val="22"/>
          <w:lang w:val="en-AU" w:eastAsia="en-AU"/>
        </w:rPr>
        <w:t>.</w:t>
      </w:r>
    </w:p>
    <w:tbl>
      <w:tblPr>
        <w:tblStyle w:val="TableGrid"/>
        <w:tblpPr w:leftFromText="180" w:rightFromText="180" w:vertAnchor="text" w:horzAnchor="margin" w:tblpXSpec="center" w:tblpY="26"/>
        <w:tblW w:w="0" w:type="auto"/>
        <w:tblLook w:val="04A0" w:firstRow="1" w:lastRow="0" w:firstColumn="1" w:lastColumn="0" w:noHBand="0" w:noVBand="1"/>
      </w:tblPr>
      <w:tblGrid>
        <w:gridCol w:w="4586"/>
        <w:gridCol w:w="4656"/>
      </w:tblGrid>
      <w:tr w:rsidR="00C6526D" w:rsidRPr="00463248" w:rsidTr="00233DF3">
        <w:tc>
          <w:tcPr>
            <w:tcW w:w="4621" w:type="dxa"/>
          </w:tcPr>
          <w:p w:rsidR="00C6526D" w:rsidRPr="00463248" w:rsidRDefault="00065A14" w:rsidP="006555F8">
            <w:pPr>
              <w:ind w:left="-84" w:right="-75"/>
              <w:rPr>
                <w:lang w:val="en-AU"/>
              </w:rPr>
            </w:pPr>
            <w:r w:rsidRPr="00463248">
              <w:rPr>
                <w:noProof/>
                <w:lang w:val="en-AU" w:eastAsia="en-AU"/>
              </w:rPr>
              <w:drawing>
                <wp:inline distT="0" distB="0" distL="0" distR="0" wp14:anchorId="34BAD34B" wp14:editId="7E48B517">
                  <wp:extent cx="2934473" cy="322087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35216" cy="3221687"/>
                          </a:xfrm>
                          <a:prstGeom prst="rect">
                            <a:avLst/>
                          </a:prstGeom>
                          <a:noFill/>
                          <a:ln>
                            <a:noFill/>
                          </a:ln>
                        </pic:spPr>
                      </pic:pic>
                    </a:graphicData>
                  </a:graphic>
                </wp:inline>
              </w:drawing>
            </w:r>
          </w:p>
        </w:tc>
        <w:tc>
          <w:tcPr>
            <w:tcW w:w="4621" w:type="dxa"/>
          </w:tcPr>
          <w:p w:rsidR="00C6526D" w:rsidRPr="00463248" w:rsidRDefault="00322653" w:rsidP="006555F8">
            <w:pPr>
              <w:ind w:left="-85" w:right="-73"/>
              <w:rPr>
                <w:lang w:val="en-AU"/>
              </w:rPr>
            </w:pPr>
            <w:r>
              <w:rPr>
                <w:noProof/>
                <w:lang w:val="en-AU" w:eastAsia="en-AU"/>
              </w:rPr>
              <w:drawing>
                <wp:inline distT="0" distB="0" distL="0" distR="0" wp14:anchorId="4658332F" wp14:editId="40B0676B">
                  <wp:extent cx="2979107" cy="3179928"/>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79685" cy="3180545"/>
                          </a:xfrm>
                          <a:prstGeom prst="rect">
                            <a:avLst/>
                          </a:prstGeom>
                          <a:noFill/>
                          <a:ln>
                            <a:noFill/>
                          </a:ln>
                        </pic:spPr>
                      </pic:pic>
                    </a:graphicData>
                  </a:graphic>
                </wp:inline>
              </w:drawing>
            </w:r>
          </w:p>
        </w:tc>
      </w:tr>
      <w:tr w:rsidR="00C6526D" w:rsidRPr="00463248" w:rsidTr="00233DF3">
        <w:tc>
          <w:tcPr>
            <w:tcW w:w="4621" w:type="dxa"/>
          </w:tcPr>
          <w:p w:rsidR="00C6526D" w:rsidRPr="00463248" w:rsidRDefault="00C6526D" w:rsidP="00E10946">
            <w:pPr>
              <w:rPr>
                <w:sz w:val="22"/>
                <w:szCs w:val="22"/>
                <w:lang w:val="en-AU"/>
              </w:rPr>
            </w:pPr>
            <w:r w:rsidRPr="00463248">
              <w:rPr>
                <w:b/>
                <w:sz w:val="22"/>
                <w:szCs w:val="22"/>
                <w:lang w:val="en-AU"/>
              </w:rPr>
              <w:t>Figure 1</w:t>
            </w:r>
            <w:r w:rsidRPr="00463248">
              <w:rPr>
                <w:sz w:val="22"/>
                <w:szCs w:val="22"/>
                <w:lang w:val="en-AU"/>
              </w:rPr>
              <w:t>: Deployment scenario with dedicated carrier for V2X services.</w:t>
            </w:r>
          </w:p>
        </w:tc>
        <w:tc>
          <w:tcPr>
            <w:tcW w:w="4621" w:type="dxa"/>
          </w:tcPr>
          <w:p w:rsidR="00C6526D" w:rsidRPr="00463248" w:rsidRDefault="00C6526D" w:rsidP="00E10946">
            <w:pPr>
              <w:rPr>
                <w:sz w:val="22"/>
                <w:szCs w:val="22"/>
                <w:lang w:val="en-AU"/>
              </w:rPr>
            </w:pPr>
            <w:r w:rsidRPr="00463248">
              <w:rPr>
                <w:b/>
                <w:sz w:val="22"/>
                <w:szCs w:val="22"/>
                <w:lang w:val="en-AU"/>
              </w:rPr>
              <w:t>Figure 2</w:t>
            </w:r>
            <w:r w:rsidRPr="00463248">
              <w:rPr>
                <w:sz w:val="22"/>
                <w:szCs w:val="22"/>
                <w:lang w:val="en-AU"/>
              </w:rPr>
              <w:t>: Deployment scenario where V2X operating on MNO’s carrier and may be shared with normal LTE operation</w:t>
            </w:r>
            <w:r w:rsidR="006555F8" w:rsidRPr="00463248">
              <w:rPr>
                <w:sz w:val="22"/>
                <w:szCs w:val="22"/>
                <w:lang w:val="en-AU"/>
              </w:rPr>
              <w:t xml:space="preserve"> when in-coverage</w:t>
            </w:r>
            <w:r w:rsidRPr="00463248">
              <w:rPr>
                <w:sz w:val="22"/>
                <w:szCs w:val="22"/>
                <w:lang w:val="en-AU"/>
              </w:rPr>
              <w:t>.</w:t>
            </w:r>
          </w:p>
        </w:tc>
      </w:tr>
    </w:tbl>
    <w:p w:rsidR="007073ED" w:rsidRPr="00463248" w:rsidRDefault="007073ED" w:rsidP="00E3157D">
      <w:pPr>
        <w:spacing w:after="120"/>
        <w:jc w:val="both"/>
        <w:rPr>
          <w:bCs/>
          <w:sz w:val="22"/>
          <w:szCs w:val="22"/>
          <w:lang w:val="en-AU" w:eastAsia="en-AU"/>
        </w:rPr>
      </w:pPr>
    </w:p>
    <w:p w:rsidR="006555F8" w:rsidRPr="00463248" w:rsidRDefault="003209B2" w:rsidP="003E18C5">
      <w:pPr>
        <w:spacing w:before="240" w:line="276" w:lineRule="auto"/>
        <w:contextualSpacing/>
        <w:rPr>
          <w:b/>
          <w:sz w:val="22"/>
          <w:lang w:val="en-AU"/>
        </w:rPr>
      </w:pPr>
      <w:r w:rsidRPr="00463248">
        <w:rPr>
          <w:b/>
          <w:sz w:val="22"/>
          <w:lang w:val="en-AU"/>
        </w:rPr>
        <w:t>Deployment</w:t>
      </w:r>
      <w:r w:rsidR="006555F8" w:rsidRPr="00463248">
        <w:rPr>
          <w:b/>
          <w:sz w:val="22"/>
          <w:lang w:val="en-AU"/>
        </w:rPr>
        <w:t xml:space="preserve"> Scenario 1 (</w:t>
      </w:r>
      <w:r w:rsidR="004676B4" w:rsidRPr="00463248">
        <w:rPr>
          <w:b/>
          <w:sz w:val="22"/>
          <w:lang w:val="en-AU"/>
        </w:rPr>
        <w:t>Figure 1)</w:t>
      </w:r>
      <w:r w:rsidR="006555F8" w:rsidRPr="00463248">
        <w:rPr>
          <w:b/>
          <w:sz w:val="22"/>
          <w:lang w:val="en-AU"/>
        </w:rPr>
        <w:t>:</w:t>
      </w:r>
      <w:r w:rsidR="004676B4" w:rsidRPr="00463248">
        <w:rPr>
          <w:b/>
          <w:sz w:val="22"/>
          <w:lang w:val="en-AU"/>
        </w:rPr>
        <w:t xml:space="preserve"> Dedicated spectrum for LTE-based V2X</w:t>
      </w:r>
    </w:p>
    <w:p w:rsidR="00B01426" w:rsidRPr="00463248" w:rsidRDefault="006555F8" w:rsidP="003209B2">
      <w:pPr>
        <w:pStyle w:val="ListParagraph"/>
        <w:numPr>
          <w:ilvl w:val="0"/>
          <w:numId w:val="12"/>
        </w:numPr>
        <w:spacing w:after="200" w:line="276" w:lineRule="auto"/>
        <w:contextualSpacing/>
        <w:rPr>
          <w:rFonts w:ascii="Times New Roman" w:hAnsi="Times New Roman"/>
        </w:rPr>
      </w:pPr>
      <w:r w:rsidRPr="00463248">
        <w:rPr>
          <w:rFonts w:ascii="Times New Roman" w:hAnsi="Times New Roman"/>
        </w:rPr>
        <w:t>When in-coverage (IC)</w:t>
      </w:r>
    </w:p>
    <w:p w:rsidR="006555F8" w:rsidRPr="00463248" w:rsidRDefault="006555F8" w:rsidP="003E18C5">
      <w:pPr>
        <w:pStyle w:val="ListParagraph"/>
        <w:numPr>
          <w:ilvl w:val="1"/>
          <w:numId w:val="12"/>
        </w:numPr>
        <w:spacing w:after="200" w:line="276" w:lineRule="auto"/>
        <w:contextualSpacing/>
        <w:rPr>
          <w:rFonts w:ascii="Times New Roman" w:hAnsi="Times New Roman"/>
        </w:rPr>
      </w:pPr>
      <w:r w:rsidRPr="00463248">
        <w:rPr>
          <w:rFonts w:ascii="Times New Roman" w:hAnsi="Times New Roman"/>
        </w:rPr>
        <w:t xml:space="preserve">Macro layer coverage is provided by serving eNB on F1. </w:t>
      </w:r>
      <w:r w:rsidR="00B01426" w:rsidRPr="00463248">
        <w:rPr>
          <w:rFonts w:ascii="Times New Roman" w:hAnsi="Times New Roman"/>
        </w:rPr>
        <w:t>V2X UEs and RSUs connect to the eNB and ITS</w:t>
      </w:r>
      <w:r w:rsidRPr="00463248">
        <w:rPr>
          <w:rFonts w:ascii="Times New Roman" w:hAnsi="Times New Roman"/>
        </w:rPr>
        <w:t xml:space="preserve"> server for at least the following functions:</w:t>
      </w:r>
    </w:p>
    <w:p w:rsidR="006555F8" w:rsidRPr="00463248" w:rsidRDefault="006555F8" w:rsidP="003E18C5">
      <w:pPr>
        <w:pStyle w:val="ListParagraph"/>
        <w:numPr>
          <w:ilvl w:val="2"/>
          <w:numId w:val="12"/>
        </w:numPr>
        <w:spacing w:after="200" w:line="276" w:lineRule="auto"/>
        <w:contextualSpacing/>
        <w:rPr>
          <w:rFonts w:ascii="Times New Roman" w:hAnsi="Times New Roman"/>
        </w:rPr>
      </w:pPr>
      <w:r w:rsidRPr="00463248">
        <w:rPr>
          <w:rFonts w:ascii="Times New Roman" w:hAnsi="Times New Roman"/>
        </w:rPr>
        <w:t>Authentication and authorisation from the NW including security parameters  (as required in SA1 TR22.885 [2])</w:t>
      </w:r>
    </w:p>
    <w:p w:rsidR="00B01426" w:rsidRPr="00463248" w:rsidRDefault="00B01426" w:rsidP="003E18C5">
      <w:pPr>
        <w:pStyle w:val="ListParagraph"/>
        <w:numPr>
          <w:ilvl w:val="2"/>
          <w:numId w:val="12"/>
        </w:numPr>
        <w:spacing w:after="200" w:line="276" w:lineRule="auto"/>
        <w:contextualSpacing/>
        <w:rPr>
          <w:rFonts w:ascii="Times New Roman" w:hAnsi="Times New Roman"/>
        </w:rPr>
      </w:pPr>
      <w:r w:rsidRPr="00463248">
        <w:rPr>
          <w:rFonts w:ascii="Times New Roman" w:hAnsi="Times New Roman"/>
        </w:rPr>
        <w:lastRenderedPageBreak/>
        <w:t>Getting traffic updates (from far) and warning messages that have been relayed</w:t>
      </w:r>
    </w:p>
    <w:p w:rsidR="00B01426" w:rsidRPr="00463248" w:rsidRDefault="00B01426" w:rsidP="003E18C5">
      <w:pPr>
        <w:pStyle w:val="ListParagraph"/>
        <w:numPr>
          <w:ilvl w:val="2"/>
          <w:numId w:val="12"/>
        </w:numPr>
        <w:spacing w:after="200" w:line="276" w:lineRule="auto"/>
        <w:contextualSpacing/>
        <w:rPr>
          <w:rFonts w:ascii="Times New Roman" w:hAnsi="Times New Roman"/>
        </w:rPr>
      </w:pPr>
      <w:r w:rsidRPr="00463248">
        <w:rPr>
          <w:rFonts w:ascii="Times New Roman" w:hAnsi="Times New Roman"/>
        </w:rPr>
        <w:t>Normal LTE uplink and downlink operations</w:t>
      </w:r>
    </w:p>
    <w:p w:rsidR="003209B2" w:rsidRPr="00463248" w:rsidRDefault="003209B2" w:rsidP="00B01426">
      <w:pPr>
        <w:pStyle w:val="ListParagraph"/>
        <w:numPr>
          <w:ilvl w:val="1"/>
          <w:numId w:val="12"/>
        </w:numPr>
        <w:spacing w:after="200" w:line="276" w:lineRule="auto"/>
        <w:contextualSpacing/>
        <w:rPr>
          <w:rFonts w:ascii="Times New Roman" w:hAnsi="Times New Roman"/>
        </w:rPr>
      </w:pPr>
      <w:r w:rsidRPr="00463248">
        <w:rPr>
          <w:rFonts w:ascii="Times New Roman" w:hAnsi="Times New Roman"/>
          <w:u w:val="single"/>
        </w:rPr>
        <w:t>V2X message transmission/reception primarily over the PC5 interface on the dedicated ITS spectrum F2</w:t>
      </w:r>
      <w:r w:rsidRPr="00463248">
        <w:rPr>
          <w:rFonts w:ascii="Times New Roman" w:hAnsi="Times New Roman"/>
        </w:rPr>
        <w:t>.</w:t>
      </w:r>
    </w:p>
    <w:p w:rsidR="00B01426" w:rsidRPr="00463248" w:rsidRDefault="00B01426" w:rsidP="00B01426">
      <w:pPr>
        <w:pStyle w:val="ListParagraph"/>
        <w:numPr>
          <w:ilvl w:val="1"/>
          <w:numId w:val="12"/>
        </w:numPr>
        <w:spacing w:after="200" w:line="276" w:lineRule="auto"/>
        <w:contextualSpacing/>
        <w:rPr>
          <w:rFonts w:ascii="Times New Roman" w:hAnsi="Times New Roman"/>
        </w:rPr>
      </w:pPr>
      <w:r w:rsidRPr="00463248">
        <w:rPr>
          <w:rFonts w:ascii="Times New Roman" w:hAnsi="Times New Roman"/>
        </w:rPr>
        <w:t xml:space="preserve">Sidelink resource parameters on the dedicated ITS spectrum F2 </w:t>
      </w:r>
      <w:r w:rsidR="003209B2" w:rsidRPr="00463248">
        <w:rPr>
          <w:rFonts w:ascii="Times New Roman" w:hAnsi="Times New Roman"/>
        </w:rPr>
        <w:t>are</w:t>
      </w:r>
      <w:r w:rsidRPr="00463248">
        <w:rPr>
          <w:rFonts w:ascii="Times New Roman" w:hAnsi="Times New Roman"/>
        </w:rPr>
        <w:t xml:space="preserve"> expected to be pre-configured.</w:t>
      </w:r>
    </w:p>
    <w:p w:rsidR="006555F8" w:rsidRPr="00463248" w:rsidRDefault="006555F8" w:rsidP="003E18C5">
      <w:pPr>
        <w:pStyle w:val="ListParagraph"/>
        <w:numPr>
          <w:ilvl w:val="0"/>
          <w:numId w:val="12"/>
        </w:numPr>
        <w:spacing w:after="200" w:line="276" w:lineRule="auto"/>
        <w:contextualSpacing/>
        <w:rPr>
          <w:rFonts w:ascii="Times New Roman" w:hAnsi="Times New Roman"/>
        </w:rPr>
      </w:pPr>
      <w:r w:rsidRPr="00463248">
        <w:rPr>
          <w:rFonts w:ascii="Times New Roman" w:hAnsi="Times New Roman"/>
        </w:rPr>
        <w:t>When out-of-coverage (OOC)</w:t>
      </w:r>
    </w:p>
    <w:p w:rsidR="006555F8" w:rsidRPr="00463248" w:rsidRDefault="006555F8" w:rsidP="003E18C5">
      <w:pPr>
        <w:pStyle w:val="ListParagraph"/>
        <w:numPr>
          <w:ilvl w:val="1"/>
          <w:numId w:val="12"/>
        </w:numPr>
        <w:spacing w:after="200" w:line="276" w:lineRule="auto"/>
        <w:contextualSpacing/>
        <w:rPr>
          <w:rFonts w:ascii="Times New Roman" w:hAnsi="Times New Roman"/>
        </w:rPr>
      </w:pPr>
      <w:r w:rsidRPr="00463248">
        <w:rPr>
          <w:rFonts w:ascii="Times New Roman" w:hAnsi="Times New Roman"/>
        </w:rPr>
        <w:t xml:space="preserve">Only the dedicated </w:t>
      </w:r>
      <w:r w:rsidR="00B01426" w:rsidRPr="00463248">
        <w:rPr>
          <w:rFonts w:ascii="Times New Roman" w:hAnsi="Times New Roman"/>
        </w:rPr>
        <w:t>spectrum</w:t>
      </w:r>
      <w:r w:rsidRPr="00463248">
        <w:rPr>
          <w:rFonts w:ascii="Times New Roman" w:hAnsi="Times New Roman"/>
        </w:rPr>
        <w:t xml:space="preserve"> F2 is</w:t>
      </w:r>
      <w:r w:rsidR="00B01426" w:rsidRPr="00463248">
        <w:rPr>
          <w:rFonts w:ascii="Times New Roman" w:hAnsi="Times New Roman"/>
        </w:rPr>
        <w:t xml:space="preserve"> used for V2X (RSU: only UE-type</w:t>
      </w:r>
      <w:r w:rsidRPr="00463248">
        <w:rPr>
          <w:rFonts w:ascii="Times New Roman" w:hAnsi="Times New Roman"/>
        </w:rPr>
        <w:t>).</w:t>
      </w:r>
    </w:p>
    <w:p w:rsidR="006555F8" w:rsidRPr="00463248" w:rsidRDefault="006555F8" w:rsidP="003E18C5">
      <w:pPr>
        <w:pStyle w:val="ListParagraph"/>
        <w:numPr>
          <w:ilvl w:val="1"/>
          <w:numId w:val="12"/>
        </w:numPr>
        <w:spacing w:after="200" w:line="276" w:lineRule="auto"/>
        <w:contextualSpacing/>
        <w:rPr>
          <w:rFonts w:ascii="Times New Roman" w:hAnsi="Times New Roman"/>
        </w:rPr>
      </w:pPr>
      <w:r w:rsidRPr="00463248">
        <w:rPr>
          <w:rFonts w:ascii="Times New Roman" w:hAnsi="Times New Roman"/>
        </w:rPr>
        <w:t>All UEs</w:t>
      </w:r>
      <w:r w:rsidR="00B01426" w:rsidRPr="00463248">
        <w:rPr>
          <w:rFonts w:ascii="Times New Roman" w:hAnsi="Times New Roman"/>
        </w:rPr>
        <w:t xml:space="preserve"> and nodes</w:t>
      </w:r>
      <w:r w:rsidRPr="00463248">
        <w:rPr>
          <w:rFonts w:ascii="Times New Roman" w:hAnsi="Times New Roman"/>
        </w:rPr>
        <w:t xml:space="preserve"> are (pre-) authorised by the </w:t>
      </w:r>
      <w:r w:rsidR="00B01426" w:rsidRPr="00463248">
        <w:rPr>
          <w:rFonts w:ascii="Times New Roman" w:hAnsi="Times New Roman"/>
        </w:rPr>
        <w:t>NW to transmit and receive V2X</w:t>
      </w:r>
      <w:r w:rsidRPr="00463248">
        <w:rPr>
          <w:rFonts w:ascii="Times New Roman" w:hAnsi="Times New Roman"/>
        </w:rPr>
        <w:t xml:space="preserve"> messages.</w:t>
      </w:r>
    </w:p>
    <w:p w:rsidR="006555F8" w:rsidRPr="00463248" w:rsidRDefault="00B01426" w:rsidP="003E18C5">
      <w:pPr>
        <w:pStyle w:val="ListParagraph"/>
        <w:numPr>
          <w:ilvl w:val="1"/>
          <w:numId w:val="12"/>
        </w:numPr>
        <w:spacing w:after="200" w:line="276" w:lineRule="auto"/>
        <w:contextualSpacing/>
        <w:rPr>
          <w:rFonts w:ascii="Times New Roman" w:hAnsi="Times New Roman"/>
        </w:rPr>
      </w:pPr>
      <w:r w:rsidRPr="00463248">
        <w:rPr>
          <w:rFonts w:ascii="Times New Roman" w:hAnsi="Times New Roman"/>
        </w:rPr>
        <w:t>Sidelink r</w:t>
      </w:r>
      <w:r w:rsidR="006555F8" w:rsidRPr="00463248">
        <w:rPr>
          <w:rFonts w:ascii="Times New Roman" w:hAnsi="Times New Roman"/>
        </w:rPr>
        <w:t>adio resource parameters</w:t>
      </w:r>
      <w:r w:rsidRPr="00463248">
        <w:rPr>
          <w:rFonts w:ascii="Times New Roman" w:hAnsi="Times New Roman"/>
        </w:rPr>
        <w:t xml:space="preserve"> for OOC are expect to be the same as IC and also</w:t>
      </w:r>
      <w:r w:rsidR="006555F8" w:rsidRPr="00463248">
        <w:rPr>
          <w:rFonts w:ascii="Times New Roman" w:hAnsi="Times New Roman"/>
        </w:rPr>
        <w:t xml:space="preserve"> pre-configured to </w:t>
      </w:r>
      <w:r w:rsidRPr="00463248">
        <w:rPr>
          <w:rFonts w:ascii="Times New Roman" w:hAnsi="Times New Roman"/>
        </w:rPr>
        <w:t>UEs and nodes</w:t>
      </w:r>
      <w:r w:rsidR="006555F8" w:rsidRPr="00463248">
        <w:rPr>
          <w:rFonts w:ascii="Times New Roman" w:hAnsi="Times New Roman"/>
        </w:rPr>
        <w:t>.</w:t>
      </w:r>
    </w:p>
    <w:p w:rsidR="006555F8" w:rsidRPr="00463248" w:rsidRDefault="003209B2" w:rsidP="003E18C5">
      <w:pPr>
        <w:spacing w:line="276" w:lineRule="auto"/>
        <w:contextualSpacing/>
        <w:rPr>
          <w:b/>
          <w:sz w:val="22"/>
          <w:lang w:val="en-AU"/>
        </w:rPr>
      </w:pPr>
      <w:r w:rsidRPr="00463248">
        <w:rPr>
          <w:b/>
          <w:sz w:val="22"/>
          <w:lang w:val="en-AU"/>
        </w:rPr>
        <w:t xml:space="preserve">Deployment </w:t>
      </w:r>
      <w:r w:rsidR="004676B4" w:rsidRPr="00463248">
        <w:rPr>
          <w:b/>
          <w:sz w:val="22"/>
          <w:lang w:val="en-AU"/>
        </w:rPr>
        <w:t>Scenario 2 (Figure 2): Operator shared spectrum for V2X not shared with normal LTE</w:t>
      </w:r>
    </w:p>
    <w:p w:rsidR="006555F8" w:rsidRPr="00463248" w:rsidRDefault="006555F8" w:rsidP="003E18C5">
      <w:pPr>
        <w:pStyle w:val="ListParagraph"/>
        <w:numPr>
          <w:ilvl w:val="0"/>
          <w:numId w:val="12"/>
        </w:numPr>
        <w:spacing w:after="200" w:line="276" w:lineRule="auto"/>
        <w:contextualSpacing/>
        <w:rPr>
          <w:rFonts w:ascii="Times New Roman" w:hAnsi="Times New Roman"/>
        </w:rPr>
      </w:pPr>
      <w:r w:rsidRPr="00463248">
        <w:rPr>
          <w:rFonts w:ascii="Times New Roman" w:hAnsi="Times New Roman"/>
        </w:rPr>
        <w:t>When in-coverage (IC)</w:t>
      </w:r>
    </w:p>
    <w:p w:rsidR="006555F8" w:rsidRPr="00463248" w:rsidRDefault="006555F8" w:rsidP="003E18C5">
      <w:pPr>
        <w:pStyle w:val="ListParagraph"/>
        <w:numPr>
          <w:ilvl w:val="1"/>
          <w:numId w:val="12"/>
        </w:numPr>
        <w:spacing w:after="200" w:line="276" w:lineRule="auto"/>
        <w:contextualSpacing/>
        <w:rPr>
          <w:rFonts w:ascii="Times New Roman" w:hAnsi="Times New Roman"/>
        </w:rPr>
      </w:pPr>
      <w:r w:rsidRPr="00463248">
        <w:rPr>
          <w:rFonts w:ascii="Times New Roman" w:hAnsi="Times New Roman"/>
        </w:rPr>
        <w:t>Macro layer coverage is provided by serving eNB on F1</w:t>
      </w:r>
      <w:r w:rsidR="003209B2" w:rsidRPr="00463248">
        <w:rPr>
          <w:rFonts w:ascii="Times New Roman" w:hAnsi="Times New Roman"/>
        </w:rPr>
        <w:t xml:space="preserve">, where </w:t>
      </w:r>
      <w:r w:rsidR="003209B2" w:rsidRPr="00463248">
        <w:rPr>
          <w:rFonts w:ascii="Times New Roman" w:hAnsi="Times New Roman"/>
          <w:u w:val="single"/>
        </w:rPr>
        <w:t>F1 is a shared spectrum between multiple operators and it is designated for V2X services (not shared with normal LTE operation)</w:t>
      </w:r>
      <w:r w:rsidRPr="00463248">
        <w:rPr>
          <w:rFonts w:ascii="Times New Roman" w:hAnsi="Times New Roman"/>
        </w:rPr>
        <w:t xml:space="preserve">. </w:t>
      </w:r>
      <w:r w:rsidR="003209B2" w:rsidRPr="00463248">
        <w:rPr>
          <w:rFonts w:ascii="Times New Roman" w:hAnsi="Times New Roman"/>
        </w:rPr>
        <w:t>V2X UEs and RSUs connect to the eNB and ITS server for at least the following functions:</w:t>
      </w:r>
    </w:p>
    <w:p w:rsidR="006555F8" w:rsidRPr="00463248" w:rsidRDefault="006555F8" w:rsidP="003E18C5">
      <w:pPr>
        <w:pStyle w:val="ListParagraph"/>
        <w:numPr>
          <w:ilvl w:val="2"/>
          <w:numId w:val="12"/>
        </w:numPr>
        <w:spacing w:after="200" w:line="276" w:lineRule="auto"/>
        <w:contextualSpacing/>
        <w:rPr>
          <w:rFonts w:ascii="Times New Roman" w:hAnsi="Times New Roman"/>
        </w:rPr>
      </w:pPr>
      <w:r w:rsidRPr="00463248">
        <w:rPr>
          <w:rFonts w:ascii="Times New Roman" w:hAnsi="Times New Roman"/>
        </w:rPr>
        <w:t>Authentication and authorisation from the NW including security parameters  (as required in SA1 TR22.885</w:t>
      </w:r>
      <w:r w:rsidR="003E18C5" w:rsidRPr="00463248">
        <w:rPr>
          <w:rFonts w:ascii="Times New Roman" w:hAnsi="Times New Roman"/>
        </w:rPr>
        <w:t xml:space="preserve"> [2]</w:t>
      </w:r>
      <w:r w:rsidRPr="00463248">
        <w:rPr>
          <w:rFonts w:ascii="Times New Roman" w:hAnsi="Times New Roman"/>
        </w:rPr>
        <w:t>)</w:t>
      </w:r>
    </w:p>
    <w:p w:rsidR="003209B2" w:rsidRPr="00463248" w:rsidRDefault="003209B2" w:rsidP="003209B2">
      <w:pPr>
        <w:pStyle w:val="ListParagraph"/>
        <w:numPr>
          <w:ilvl w:val="2"/>
          <w:numId w:val="12"/>
        </w:numPr>
        <w:spacing w:after="200" w:line="276" w:lineRule="auto"/>
        <w:contextualSpacing/>
        <w:rPr>
          <w:rFonts w:ascii="Times New Roman" w:hAnsi="Times New Roman"/>
        </w:rPr>
      </w:pPr>
      <w:r w:rsidRPr="00463248">
        <w:rPr>
          <w:rFonts w:ascii="Times New Roman" w:hAnsi="Times New Roman"/>
        </w:rPr>
        <w:t>Getting traffic updates (from far) and warning messages that have been relayed</w:t>
      </w:r>
    </w:p>
    <w:p w:rsidR="006555F8" w:rsidRPr="00463248" w:rsidRDefault="003209B2" w:rsidP="003E18C5">
      <w:pPr>
        <w:pStyle w:val="ListParagraph"/>
        <w:numPr>
          <w:ilvl w:val="2"/>
          <w:numId w:val="12"/>
        </w:numPr>
        <w:spacing w:after="200" w:line="276" w:lineRule="auto"/>
        <w:contextualSpacing/>
        <w:rPr>
          <w:rFonts w:ascii="Times New Roman" w:hAnsi="Times New Roman"/>
        </w:rPr>
      </w:pPr>
      <w:r w:rsidRPr="00463248">
        <w:rPr>
          <w:rFonts w:ascii="Times New Roman" w:hAnsi="Times New Roman"/>
        </w:rPr>
        <w:t>O</w:t>
      </w:r>
      <w:r w:rsidR="006555F8" w:rsidRPr="00463248">
        <w:rPr>
          <w:rFonts w:ascii="Times New Roman" w:hAnsi="Times New Roman"/>
        </w:rPr>
        <w:t>btain</w:t>
      </w:r>
      <w:r w:rsidRPr="00463248">
        <w:rPr>
          <w:rFonts w:ascii="Times New Roman" w:hAnsi="Times New Roman"/>
        </w:rPr>
        <w:t>ing</w:t>
      </w:r>
      <w:r w:rsidR="006555F8" w:rsidRPr="00463248">
        <w:rPr>
          <w:rFonts w:ascii="Times New Roman" w:hAnsi="Times New Roman"/>
        </w:rPr>
        <w:t xml:space="preserve"> </w:t>
      </w:r>
      <w:r w:rsidRPr="00463248">
        <w:rPr>
          <w:rFonts w:ascii="Times New Roman" w:hAnsi="Times New Roman"/>
        </w:rPr>
        <w:t xml:space="preserve">sidelink </w:t>
      </w:r>
      <w:r w:rsidR="006555F8" w:rsidRPr="00463248">
        <w:rPr>
          <w:rFonts w:ascii="Times New Roman" w:hAnsi="Times New Roman"/>
        </w:rPr>
        <w:t>resource configurations on F1 UL carrier/subframes</w:t>
      </w:r>
    </w:p>
    <w:p w:rsidR="006555F8" w:rsidRPr="00463248" w:rsidRDefault="003209B2" w:rsidP="003E18C5">
      <w:pPr>
        <w:pStyle w:val="ListParagraph"/>
        <w:numPr>
          <w:ilvl w:val="2"/>
          <w:numId w:val="12"/>
        </w:numPr>
        <w:spacing w:after="200" w:line="276" w:lineRule="auto"/>
        <w:contextualSpacing/>
        <w:rPr>
          <w:rFonts w:ascii="Times New Roman" w:hAnsi="Times New Roman"/>
        </w:rPr>
      </w:pPr>
      <w:r w:rsidRPr="00463248">
        <w:rPr>
          <w:rFonts w:ascii="Times New Roman" w:hAnsi="Times New Roman"/>
        </w:rPr>
        <w:t>Receiving s</w:t>
      </w:r>
      <w:r w:rsidR="006555F8" w:rsidRPr="00463248">
        <w:rPr>
          <w:rFonts w:ascii="Times New Roman" w:hAnsi="Times New Roman"/>
        </w:rPr>
        <w:t>cheduling grant to transmit V2X messages on F1 UL carrier/subframes</w:t>
      </w:r>
    </w:p>
    <w:p w:rsidR="003209B2" w:rsidRPr="00463248" w:rsidRDefault="003209B2" w:rsidP="003209B2">
      <w:pPr>
        <w:pStyle w:val="ListParagraph"/>
        <w:numPr>
          <w:ilvl w:val="1"/>
          <w:numId w:val="12"/>
        </w:numPr>
        <w:spacing w:after="200" w:line="276" w:lineRule="auto"/>
        <w:contextualSpacing/>
        <w:rPr>
          <w:rFonts w:ascii="Times New Roman" w:hAnsi="Times New Roman"/>
        </w:rPr>
      </w:pPr>
      <w:r w:rsidRPr="00463248">
        <w:rPr>
          <w:rFonts w:ascii="Times New Roman" w:hAnsi="Times New Roman"/>
        </w:rPr>
        <w:t>V2X message transmission/reception primarily over the PC5 interface on the operator shared spectrum F1.</w:t>
      </w:r>
    </w:p>
    <w:p w:rsidR="006555F8" w:rsidRPr="00463248" w:rsidRDefault="006555F8" w:rsidP="003E18C5">
      <w:pPr>
        <w:pStyle w:val="ListParagraph"/>
        <w:numPr>
          <w:ilvl w:val="0"/>
          <w:numId w:val="12"/>
        </w:numPr>
        <w:spacing w:after="200" w:line="276" w:lineRule="auto"/>
        <w:contextualSpacing/>
        <w:rPr>
          <w:rFonts w:ascii="Times New Roman" w:hAnsi="Times New Roman"/>
        </w:rPr>
      </w:pPr>
      <w:r w:rsidRPr="00463248">
        <w:rPr>
          <w:rFonts w:ascii="Times New Roman" w:hAnsi="Times New Roman"/>
        </w:rPr>
        <w:t>When out-of-coverage (OOC)</w:t>
      </w:r>
    </w:p>
    <w:p w:rsidR="006555F8" w:rsidRPr="00463248" w:rsidRDefault="006555F8" w:rsidP="003E18C5">
      <w:pPr>
        <w:pStyle w:val="ListParagraph"/>
        <w:numPr>
          <w:ilvl w:val="1"/>
          <w:numId w:val="12"/>
        </w:numPr>
        <w:spacing w:after="200" w:line="276" w:lineRule="auto"/>
        <w:contextualSpacing/>
        <w:rPr>
          <w:rFonts w:ascii="Times New Roman" w:hAnsi="Times New Roman"/>
        </w:rPr>
      </w:pPr>
      <w:r w:rsidRPr="00463248">
        <w:rPr>
          <w:rFonts w:ascii="Times New Roman" w:hAnsi="Times New Roman"/>
        </w:rPr>
        <w:t xml:space="preserve">Only one common </w:t>
      </w:r>
      <w:r w:rsidR="003209B2" w:rsidRPr="00463248">
        <w:rPr>
          <w:rFonts w:ascii="Times New Roman" w:hAnsi="Times New Roman"/>
        </w:rPr>
        <w:t>spectrum</w:t>
      </w:r>
      <w:r w:rsidRPr="00463248">
        <w:rPr>
          <w:rFonts w:ascii="Times New Roman" w:hAnsi="Times New Roman"/>
        </w:rPr>
        <w:t xml:space="preserve"> (</w:t>
      </w:r>
      <w:r w:rsidR="003209B2" w:rsidRPr="00463248">
        <w:rPr>
          <w:rFonts w:ascii="Times New Roman" w:hAnsi="Times New Roman"/>
        </w:rPr>
        <w:t>F1 – operator shared</w:t>
      </w:r>
      <w:r w:rsidRPr="00463248">
        <w:rPr>
          <w:rFonts w:ascii="Times New Roman" w:hAnsi="Times New Roman"/>
        </w:rPr>
        <w:t xml:space="preserve"> spectrum) is used for V2X </w:t>
      </w:r>
      <w:r w:rsidR="003209B2" w:rsidRPr="00463248">
        <w:rPr>
          <w:rFonts w:ascii="Times New Roman" w:hAnsi="Times New Roman"/>
        </w:rPr>
        <w:t>services</w:t>
      </w:r>
      <w:r w:rsidRPr="00463248">
        <w:rPr>
          <w:rFonts w:ascii="Times New Roman" w:hAnsi="Times New Roman"/>
        </w:rPr>
        <w:t>.</w:t>
      </w:r>
    </w:p>
    <w:p w:rsidR="003209B2" w:rsidRPr="00463248" w:rsidRDefault="003209B2" w:rsidP="003209B2">
      <w:pPr>
        <w:pStyle w:val="ListParagraph"/>
        <w:numPr>
          <w:ilvl w:val="1"/>
          <w:numId w:val="12"/>
        </w:numPr>
        <w:spacing w:after="200" w:line="276" w:lineRule="auto"/>
        <w:contextualSpacing/>
        <w:rPr>
          <w:rFonts w:ascii="Times New Roman" w:hAnsi="Times New Roman"/>
        </w:rPr>
      </w:pPr>
      <w:r w:rsidRPr="00463248">
        <w:rPr>
          <w:rFonts w:ascii="Times New Roman" w:hAnsi="Times New Roman"/>
        </w:rPr>
        <w:t>All UEs and nodes are (pre-) authorised by the NW to transmit and receive V2X messages.</w:t>
      </w:r>
    </w:p>
    <w:p w:rsidR="003209B2" w:rsidRPr="00463248" w:rsidRDefault="003209B2" w:rsidP="003209B2">
      <w:pPr>
        <w:pStyle w:val="ListParagraph"/>
        <w:numPr>
          <w:ilvl w:val="1"/>
          <w:numId w:val="12"/>
        </w:numPr>
        <w:spacing w:after="200" w:line="276" w:lineRule="auto"/>
        <w:contextualSpacing/>
        <w:rPr>
          <w:rFonts w:ascii="Times New Roman" w:hAnsi="Times New Roman"/>
        </w:rPr>
      </w:pPr>
      <w:r w:rsidRPr="00463248">
        <w:rPr>
          <w:rFonts w:ascii="Times New Roman" w:hAnsi="Times New Roman"/>
        </w:rPr>
        <w:t>Sidelink radio resource parameters are pre-configured to all UEs and nodes.</w:t>
      </w:r>
    </w:p>
    <w:p w:rsidR="004676B4" w:rsidRPr="00463248" w:rsidRDefault="003209B2" w:rsidP="004676B4">
      <w:pPr>
        <w:spacing w:line="276" w:lineRule="auto"/>
        <w:contextualSpacing/>
        <w:rPr>
          <w:b/>
          <w:sz w:val="22"/>
          <w:lang w:val="en-AU"/>
        </w:rPr>
      </w:pPr>
      <w:r w:rsidRPr="00463248">
        <w:rPr>
          <w:b/>
          <w:sz w:val="22"/>
          <w:lang w:val="en-AU"/>
        </w:rPr>
        <w:t xml:space="preserve">Deployment </w:t>
      </w:r>
      <w:r w:rsidR="004676B4" w:rsidRPr="00463248">
        <w:rPr>
          <w:b/>
          <w:sz w:val="22"/>
          <w:lang w:val="en-AU"/>
        </w:rPr>
        <w:t>Scenario 3 (Figure 2): Operator specific spectrum for V2X with normal LTE operation</w:t>
      </w:r>
    </w:p>
    <w:p w:rsidR="003209B2" w:rsidRPr="00463248" w:rsidRDefault="003209B2" w:rsidP="003209B2">
      <w:pPr>
        <w:pStyle w:val="ListParagraph"/>
        <w:numPr>
          <w:ilvl w:val="0"/>
          <w:numId w:val="12"/>
        </w:numPr>
        <w:spacing w:after="200" w:line="276" w:lineRule="auto"/>
        <w:contextualSpacing/>
        <w:rPr>
          <w:rFonts w:ascii="Times New Roman" w:hAnsi="Times New Roman"/>
        </w:rPr>
      </w:pPr>
      <w:r w:rsidRPr="00463248">
        <w:rPr>
          <w:rFonts w:ascii="Times New Roman" w:hAnsi="Times New Roman"/>
        </w:rPr>
        <w:t>When in-coverage (IC)</w:t>
      </w:r>
    </w:p>
    <w:p w:rsidR="003209B2" w:rsidRPr="00463248" w:rsidRDefault="003209B2" w:rsidP="003209B2">
      <w:pPr>
        <w:pStyle w:val="ListParagraph"/>
        <w:numPr>
          <w:ilvl w:val="1"/>
          <w:numId w:val="12"/>
        </w:numPr>
        <w:spacing w:after="200" w:line="276" w:lineRule="auto"/>
        <w:contextualSpacing/>
        <w:rPr>
          <w:rFonts w:ascii="Times New Roman" w:hAnsi="Times New Roman"/>
        </w:rPr>
      </w:pPr>
      <w:r w:rsidRPr="00463248">
        <w:rPr>
          <w:rFonts w:ascii="Times New Roman" w:hAnsi="Times New Roman"/>
        </w:rPr>
        <w:t xml:space="preserve">Macro layer coverage is provided by serving eNB on F1, where </w:t>
      </w:r>
      <w:r w:rsidRPr="00463248">
        <w:rPr>
          <w:rFonts w:ascii="Times New Roman" w:hAnsi="Times New Roman"/>
          <w:u w:val="single"/>
        </w:rPr>
        <w:t>F1 is a</w:t>
      </w:r>
      <w:r w:rsidR="002C7FB2" w:rsidRPr="00463248">
        <w:rPr>
          <w:rFonts w:ascii="Times New Roman" w:hAnsi="Times New Roman"/>
          <w:u w:val="single"/>
        </w:rPr>
        <w:t>n</w:t>
      </w:r>
      <w:r w:rsidRPr="00463248">
        <w:rPr>
          <w:rFonts w:ascii="Times New Roman" w:hAnsi="Times New Roman"/>
          <w:u w:val="single"/>
        </w:rPr>
        <w:t xml:space="preserve"> </w:t>
      </w:r>
      <w:r w:rsidR="002C7FB2" w:rsidRPr="00463248">
        <w:rPr>
          <w:rFonts w:ascii="Times New Roman" w:hAnsi="Times New Roman"/>
          <w:u w:val="single"/>
        </w:rPr>
        <w:t>operator specific spectrum</w:t>
      </w:r>
      <w:r w:rsidRPr="00463248">
        <w:rPr>
          <w:rFonts w:ascii="Times New Roman" w:hAnsi="Times New Roman"/>
          <w:u w:val="single"/>
        </w:rPr>
        <w:t xml:space="preserve"> </w:t>
      </w:r>
      <w:r w:rsidR="002C7FB2" w:rsidRPr="00463248">
        <w:rPr>
          <w:rFonts w:ascii="Times New Roman" w:hAnsi="Times New Roman"/>
          <w:u w:val="single"/>
        </w:rPr>
        <w:t>to be shared between V2X services and normal LTE operation</w:t>
      </w:r>
      <w:r w:rsidRPr="00463248">
        <w:rPr>
          <w:rFonts w:ascii="Times New Roman" w:hAnsi="Times New Roman"/>
        </w:rPr>
        <w:t>. V2X UEs and RSUs connect to the eNB and ITS server for at least the following functions:</w:t>
      </w:r>
    </w:p>
    <w:p w:rsidR="003209B2" w:rsidRPr="00463248" w:rsidRDefault="003209B2" w:rsidP="003209B2">
      <w:pPr>
        <w:pStyle w:val="ListParagraph"/>
        <w:numPr>
          <w:ilvl w:val="2"/>
          <w:numId w:val="12"/>
        </w:numPr>
        <w:spacing w:after="200" w:line="276" w:lineRule="auto"/>
        <w:contextualSpacing/>
        <w:rPr>
          <w:rFonts w:ascii="Times New Roman" w:hAnsi="Times New Roman"/>
        </w:rPr>
      </w:pPr>
      <w:r w:rsidRPr="00463248">
        <w:rPr>
          <w:rFonts w:ascii="Times New Roman" w:hAnsi="Times New Roman"/>
        </w:rPr>
        <w:t>Authentication and authorisation from the NW including security parameters  (as required in SA1 TR22.885 [2])</w:t>
      </w:r>
    </w:p>
    <w:p w:rsidR="003209B2" w:rsidRPr="00463248" w:rsidRDefault="003209B2" w:rsidP="003209B2">
      <w:pPr>
        <w:pStyle w:val="ListParagraph"/>
        <w:numPr>
          <w:ilvl w:val="2"/>
          <w:numId w:val="12"/>
        </w:numPr>
        <w:spacing w:after="200" w:line="276" w:lineRule="auto"/>
        <w:contextualSpacing/>
        <w:rPr>
          <w:rFonts w:ascii="Times New Roman" w:hAnsi="Times New Roman"/>
        </w:rPr>
      </w:pPr>
      <w:r w:rsidRPr="00463248">
        <w:rPr>
          <w:rFonts w:ascii="Times New Roman" w:hAnsi="Times New Roman"/>
        </w:rPr>
        <w:t>Getting traffic updates (from far) and warning messages that have been relayed</w:t>
      </w:r>
    </w:p>
    <w:p w:rsidR="002C7FB2" w:rsidRPr="00463248" w:rsidRDefault="002C7FB2" w:rsidP="002C7FB2">
      <w:pPr>
        <w:pStyle w:val="ListParagraph"/>
        <w:numPr>
          <w:ilvl w:val="2"/>
          <w:numId w:val="12"/>
        </w:numPr>
        <w:spacing w:after="200" w:line="276" w:lineRule="auto"/>
        <w:contextualSpacing/>
        <w:rPr>
          <w:rFonts w:ascii="Times New Roman" w:hAnsi="Times New Roman"/>
        </w:rPr>
      </w:pPr>
      <w:r w:rsidRPr="00463248">
        <w:rPr>
          <w:rFonts w:ascii="Times New Roman" w:hAnsi="Times New Roman"/>
        </w:rPr>
        <w:lastRenderedPageBreak/>
        <w:t>Normal LTE uplink and downlink operations</w:t>
      </w:r>
    </w:p>
    <w:p w:rsidR="003209B2" w:rsidRPr="00463248" w:rsidRDefault="003209B2" w:rsidP="003209B2">
      <w:pPr>
        <w:pStyle w:val="ListParagraph"/>
        <w:numPr>
          <w:ilvl w:val="2"/>
          <w:numId w:val="12"/>
        </w:numPr>
        <w:spacing w:after="200" w:line="276" w:lineRule="auto"/>
        <w:contextualSpacing/>
        <w:rPr>
          <w:rFonts w:ascii="Times New Roman" w:hAnsi="Times New Roman"/>
        </w:rPr>
      </w:pPr>
      <w:r w:rsidRPr="00463248">
        <w:rPr>
          <w:rFonts w:ascii="Times New Roman" w:hAnsi="Times New Roman"/>
        </w:rPr>
        <w:t>Obtaining sidelink resource configurations on F1 UL carrier/subframes</w:t>
      </w:r>
    </w:p>
    <w:p w:rsidR="003209B2" w:rsidRPr="00463248" w:rsidRDefault="003209B2" w:rsidP="003209B2">
      <w:pPr>
        <w:pStyle w:val="ListParagraph"/>
        <w:numPr>
          <w:ilvl w:val="2"/>
          <w:numId w:val="12"/>
        </w:numPr>
        <w:spacing w:after="200" w:line="276" w:lineRule="auto"/>
        <w:contextualSpacing/>
        <w:rPr>
          <w:rFonts w:ascii="Times New Roman" w:hAnsi="Times New Roman"/>
        </w:rPr>
      </w:pPr>
      <w:r w:rsidRPr="00463248">
        <w:rPr>
          <w:rFonts w:ascii="Times New Roman" w:hAnsi="Times New Roman"/>
        </w:rPr>
        <w:t>Receiving scheduling grant to transmit V2X messages on F1 UL carrier/subframes</w:t>
      </w:r>
    </w:p>
    <w:p w:rsidR="003209B2" w:rsidRPr="00463248" w:rsidRDefault="003209B2" w:rsidP="003209B2">
      <w:pPr>
        <w:pStyle w:val="ListParagraph"/>
        <w:numPr>
          <w:ilvl w:val="1"/>
          <w:numId w:val="12"/>
        </w:numPr>
        <w:spacing w:after="200" w:line="276" w:lineRule="auto"/>
        <w:contextualSpacing/>
        <w:rPr>
          <w:rFonts w:ascii="Times New Roman" w:hAnsi="Times New Roman"/>
        </w:rPr>
      </w:pPr>
      <w:r w:rsidRPr="00463248">
        <w:rPr>
          <w:rFonts w:ascii="Times New Roman" w:hAnsi="Times New Roman"/>
        </w:rPr>
        <w:t xml:space="preserve">V2X message transmission/reception primarily over the PC5 interface on the operator </w:t>
      </w:r>
      <w:r w:rsidR="00BD1593" w:rsidRPr="00463248">
        <w:rPr>
          <w:rFonts w:ascii="Times New Roman" w:hAnsi="Times New Roman"/>
        </w:rPr>
        <w:t>specific</w:t>
      </w:r>
      <w:r w:rsidRPr="00463248">
        <w:rPr>
          <w:rFonts w:ascii="Times New Roman" w:hAnsi="Times New Roman"/>
        </w:rPr>
        <w:t xml:space="preserve"> spectrum F1.</w:t>
      </w:r>
    </w:p>
    <w:p w:rsidR="00BD1593" w:rsidRPr="00463248" w:rsidRDefault="00BD1593" w:rsidP="003209B2">
      <w:pPr>
        <w:pStyle w:val="ListParagraph"/>
        <w:numPr>
          <w:ilvl w:val="1"/>
          <w:numId w:val="12"/>
        </w:numPr>
        <w:spacing w:after="200" w:line="276" w:lineRule="auto"/>
        <w:contextualSpacing/>
        <w:rPr>
          <w:rFonts w:ascii="Times New Roman" w:hAnsi="Times New Roman"/>
        </w:rPr>
      </w:pPr>
      <w:r w:rsidRPr="00463248">
        <w:rPr>
          <w:rFonts w:ascii="Times New Roman" w:hAnsi="Times New Roman"/>
        </w:rPr>
        <w:t>UE need to obtain sidelink resource configuration of neighbouring cells that belong to different operators at least for V2X message reception, since at one geographical location multiple operator specific spectrums may exist at the same time.</w:t>
      </w:r>
    </w:p>
    <w:p w:rsidR="003209B2" w:rsidRPr="00463248" w:rsidRDefault="003209B2" w:rsidP="003209B2">
      <w:pPr>
        <w:pStyle w:val="ListParagraph"/>
        <w:numPr>
          <w:ilvl w:val="0"/>
          <w:numId w:val="12"/>
        </w:numPr>
        <w:spacing w:after="200" w:line="276" w:lineRule="auto"/>
        <w:contextualSpacing/>
        <w:rPr>
          <w:rFonts w:ascii="Times New Roman" w:hAnsi="Times New Roman"/>
        </w:rPr>
      </w:pPr>
      <w:r w:rsidRPr="00463248">
        <w:rPr>
          <w:rFonts w:ascii="Times New Roman" w:hAnsi="Times New Roman"/>
        </w:rPr>
        <w:t>When out-of-coverage (OOC)</w:t>
      </w:r>
    </w:p>
    <w:p w:rsidR="003209B2" w:rsidRPr="00463248" w:rsidRDefault="003209B2" w:rsidP="003209B2">
      <w:pPr>
        <w:pStyle w:val="ListParagraph"/>
        <w:numPr>
          <w:ilvl w:val="1"/>
          <w:numId w:val="12"/>
        </w:numPr>
        <w:spacing w:after="200" w:line="276" w:lineRule="auto"/>
        <w:contextualSpacing/>
        <w:rPr>
          <w:rFonts w:ascii="Times New Roman" w:hAnsi="Times New Roman"/>
        </w:rPr>
      </w:pPr>
      <w:r w:rsidRPr="00463248">
        <w:rPr>
          <w:rFonts w:ascii="Times New Roman" w:hAnsi="Times New Roman"/>
        </w:rPr>
        <w:t>All UEs and nodes are (pre-) authorised by the NW to transmit and receive V2X messages.</w:t>
      </w:r>
    </w:p>
    <w:p w:rsidR="003209B2" w:rsidRPr="00463248" w:rsidRDefault="003209B2" w:rsidP="003209B2">
      <w:pPr>
        <w:pStyle w:val="ListParagraph"/>
        <w:numPr>
          <w:ilvl w:val="1"/>
          <w:numId w:val="12"/>
        </w:numPr>
        <w:spacing w:after="200" w:line="276" w:lineRule="auto"/>
        <w:contextualSpacing/>
        <w:rPr>
          <w:rFonts w:ascii="Times New Roman" w:hAnsi="Times New Roman"/>
        </w:rPr>
      </w:pPr>
      <w:r w:rsidRPr="00463248">
        <w:rPr>
          <w:rFonts w:ascii="Times New Roman" w:hAnsi="Times New Roman"/>
        </w:rPr>
        <w:t>Sidelink radio resource parameters are pre-configured to all UEs and nodes.</w:t>
      </w:r>
    </w:p>
    <w:p w:rsidR="00500B03" w:rsidRPr="00463248" w:rsidRDefault="00500B03" w:rsidP="00500B03">
      <w:pPr>
        <w:pStyle w:val="ListParagraph"/>
        <w:numPr>
          <w:ilvl w:val="1"/>
          <w:numId w:val="12"/>
        </w:numPr>
        <w:spacing w:after="200" w:line="276" w:lineRule="auto"/>
        <w:contextualSpacing/>
        <w:rPr>
          <w:rFonts w:ascii="Times New Roman" w:hAnsi="Times New Roman"/>
        </w:rPr>
      </w:pPr>
      <w:r w:rsidRPr="00463248">
        <w:rPr>
          <w:rFonts w:ascii="Times New Roman" w:hAnsi="Times New Roman"/>
        </w:rPr>
        <w:t>Similar to IC, multiple operator specific spectrums operates at the same time. All UEs and nodes need to monitor all pre-configured radio resource pools for V2X messages.</w:t>
      </w:r>
    </w:p>
    <w:p w:rsidR="007073ED" w:rsidRPr="00463248" w:rsidRDefault="004676B4" w:rsidP="00500B03">
      <w:pPr>
        <w:pStyle w:val="ListParagraph"/>
        <w:numPr>
          <w:ilvl w:val="2"/>
          <w:numId w:val="12"/>
        </w:numPr>
        <w:spacing w:after="200" w:line="276" w:lineRule="auto"/>
        <w:contextualSpacing/>
        <w:rPr>
          <w:rFonts w:ascii="Times New Roman" w:hAnsi="Times New Roman"/>
        </w:rPr>
      </w:pPr>
      <w:r w:rsidRPr="00463248">
        <w:rPr>
          <w:rFonts w:ascii="Times New Roman" w:hAnsi="Times New Roman"/>
        </w:rPr>
        <w:t xml:space="preserve">Scanning / monitoring on pre-assigned frequency </w:t>
      </w:r>
      <w:r w:rsidR="00500B03" w:rsidRPr="00463248">
        <w:rPr>
          <w:rFonts w:ascii="Times New Roman" w:hAnsi="Times New Roman"/>
        </w:rPr>
        <w:t>spectrum</w:t>
      </w:r>
      <w:r w:rsidRPr="00463248">
        <w:rPr>
          <w:rFonts w:ascii="Times New Roman" w:hAnsi="Times New Roman"/>
        </w:rPr>
        <w:t xml:space="preserve"> belonging to different operator will be necessary.</w:t>
      </w:r>
    </w:p>
    <w:p w:rsidR="00F10E80" w:rsidRPr="00463248" w:rsidRDefault="00F10E80" w:rsidP="00763D92">
      <w:pPr>
        <w:spacing w:after="240" w:line="276" w:lineRule="auto"/>
        <w:contextualSpacing/>
        <w:rPr>
          <w:b/>
          <w:i/>
          <w:sz w:val="22"/>
          <w:lang w:val="en-AU"/>
        </w:rPr>
      </w:pPr>
      <w:r w:rsidRPr="00463248">
        <w:rPr>
          <w:b/>
          <w:i/>
          <w:sz w:val="22"/>
          <w:lang w:val="en-AU"/>
        </w:rPr>
        <w:t>Proposal 1: It is proposed the above identified 3 deployment scenarios for V2X are to be captured in a SI technical report.</w:t>
      </w:r>
    </w:p>
    <w:p w:rsidR="00456762" w:rsidRPr="00463248" w:rsidRDefault="00456762" w:rsidP="00456762">
      <w:pPr>
        <w:pStyle w:val="Heading2"/>
        <w:tabs>
          <w:tab w:val="clear" w:pos="2694"/>
          <w:tab w:val="num" w:pos="2977"/>
        </w:tabs>
        <w:spacing w:after="120"/>
        <w:ind w:left="567"/>
        <w:jc w:val="both"/>
        <w:rPr>
          <w:sz w:val="22"/>
          <w:lang w:val="en-AU" w:eastAsia="en-AU"/>
        </w:rPr>
      </w:pPr>
      <w:r w:rsidRPr="00463248">
        <w:rPr>
          <w:sz w:val="22"/>
          <w:lang w:val="en-AU" w:eastAsia="en-AU"/>
        </w:rPr>
        <w:t>Frequency bands</w:t>
      </w:r>
    </w:p>
    <w:p w:rsidR="00456762" w:rsidRPr="00463248" w:rsidRDefault="00F10E80" w:rsidP="00456762">
      <w:pPr>
        <w:spacing w:after="120"/>
        <w:jc w:val="both"/>
        <w:rPr>
          <w:bCs/>
          <w:sz w:val="22"/>
          <w:szCs w:val="22"/>
          <w:lang w:val="en-AU" w:eastAsia="en-AU"/>
        </w:rPr>
      </w:pPr>
      <w:r w:rsidRPr="00463248">
        <w:rPr>
          <w:bCs/>
          <w:sz w:val="22"/>
          <w:szCs w:val="22"/>
          <w:lang w:val="en-AU" w:eastAsia="en-AU"/>
        </w:rPr>
        <w:t xml:space="preserve">As discussed in deployment scenario 1, the use of dedicated ITS spectrum could be one possible mechanism to realise V2X services. In fact, dedicated ITS spectrum had already been allocated in different </w:t>
      </w:r>
      <w:r w:rsidR="00065A14" w:rsidRPr="00463248">
        <w:rPr>
          <w:bCs/>
          <w:sz w:val="22"/>
          <w:szCs w:val="22"/>
          <w:lang w:val="en-AU" w:eastAsia="en-AU"/>
        </w:rPr>
        <w:t>regions</w:t>
      </w:r>
      <w:r w:rsidRPr="00463248">
        <w:rPr>
          <w:bCs/>
          <w:sz w:val="22"/>
          <w:szCs w:val="22"/>
          <w:lang w:val="en-AU" w:eastAsia="en-AU"/>
        </w:rPr>
        <w:t xml:space="preserve"> around the globe. In [3], it gives a good survey of </w:t>
      </w:r>
      <w:r w:rsidR="00763D92" w:rsidRPr="00463248">
        <w:rPr>
          <w:bCs/>
          <w:sz w:val="22"/>
          <w:szCs w:val="22"/>
          <w:lang w:val="en-AU" w:eastAsia="en-AU"/>
        </w:rPr>
        <w:t>regions</w:t>
      </w:r>
      <w:r w:rsidRPr="00463248">
        <w:rPr>
          <w:bCs/>
          <w:sz w:val="22"/>
          <w:szCs w:val="22"/>
          <w:lang w:val="en-AU" w:eastAsia="en-AU"/>
        </w:rPr>
        <w:t xml:space="preserve"> and spectrum</w:t>
      </w:r>
      <w:r w:rsidR="00763D92" w:rsidRPr="00463248">
        <w:rPr>
          <w:bCs/>
          <w:sz w:val="22"/>
          <w:szCs w:val="22"/>
          <w:lang w:val="en-AU" w:eastAsia="en-AU"/>
        </w:rPr>
        <w:t xml:space="preserve"> band</w:t>
      </w:r>
      <w:r w:rsidRPr="00463248">
        <w:rPr>
          <w:bCs/>
          <w:sz w:val="22"/>
          <w:szCs w:val="22"/>
          <w:lang w:val="en-AU" w:eastAsia="en-AU"/>
        </w:rPr>
        <w:t xml:space="preserve"> that had been assigned</w:t>
      </w:r>
      <w:r w:rsidR="00763D92" w:rsidRPr="00463248">
        <w:rPr>
          <w:bCs/>
          <w:sz w:val="22"/>
          <w:szCs w:val="22"/>
          <w:lang w:val="en-AU" w:eastAsia="en-AU"/>
        </w:rPr>
        <w:t xml:space="preserve"> targeting DSRC (at least until 2009)</w:t>
      </w:r>
      <w:r w:rsidRPr="00463248">
        <w:rPr>
          <w:bCs/>
          <w:sz w:val="22"/>
          <w:szCs w:val="22"/>
          <w:lang w:val="en-AU" w:eastAsia="en-AU"/>
        </w:rPr>
        <w:t>. It is also recaptured in the table below for convenience.</w:t>
      </w:r>
    </w:p>
    <w:p w:rsidR="00F10E80" w:rsidRPr="00463248" w:rsidRDefault="00F10E80" w:rsidP="00763D92">
      <w:pPr>
        <w:spacing w:after="60"/>
        <w:jc w:val="center"/>
        <w:rPr>
          <w:bCs/>
          <w:sz w:val="20"/>
          <w:szCs w:val="22"/>
          <w:lang w:val="en-AU" w:eastAsia="en-AU"/>
        </w:rPr>
      </w:pPr>
      <w:r w:rsidRPr="00463248">
        <w:rPr>
          <w:bCs/>
          <w:sz w:val="20"/>
          <w:szCs w:val="22"/>
          <w:lang w:val="en-AU" w:eastAsia="en-AU"/>
        </w:rPr>
        <w:t>Table 1:</w:t>
      </w:r>
      <w:r w:rsidR="00763D92" w:rsidRPr="00463248">
        <w:rPr>
          <w:bCs/>
          <w:sz w:val="20"/>
          <w:szCs w:val="22"/>
          <w:lang w:val="en-AU" w:eastAsia="en-AU"/>
        </w:rPr>
        <w:t xml:space="preserve"> DSRC frequency band specifications in Europe, North America and Japan, from [3]</w:t>
      </w:r>
    </w:p>
    <w:tbl>
      <w:tblPr>
        <w:tblW w:w="6204" w:type="dxa"/>
        <w:jc w:val="center"/>
        <w:tblLook w:val="04A0" w:firstRow="1" w:lastRow="0" w:firstColumn="1" w:lastColumn="0" w:noHBand="0" w:noVBand="1"/>
      </w:tblPr>
      <w:tblGrid>
        <w:gridCol w:w="1766"/>
        <w:gridCol w:w="2453"/>
        <w:gridCol w:w="1985"/>
      </w:tblGrid>
      <w:tr w:rsidR="00763D92" w:rsidRPr="00463248" w:rsidTr="00763D92">
        <w:trPr>
          <w:trHeight w:val="300"/>
          <w:jc w:val="center"/>
        </w:trPr>
        <w:tc>
          <w:tcPr>
            <w:tcW w:w="1766" w:type="dxa"/>
            <w:tcBorders>
              <w:top w:val="nil"/>
              <w:left w:val="nil"/>
              <w:bottom w:val="nil"/>
              <w:right w:val="nil"/>
            </w:tcBorders>
            <w:shd w:val="clear" w:color="auto" w:fill="auto"/>
            <w:noWrap/>
            <w:vAlign w:val="bottom"/>
            <w:hideMark/>
          </w:tcPr>
          <w:p w:rsidR="00763D92" w:rsidRPr="00763D92" w:rsidRDefault="00763D92" w:rsidP="00763D92">
            <w:pPr>
              <w:rPr>
                <w:rFonts w:eastAsia="Times New Roman"/>
                <w:color w:val="000000"/>
                <w:sz w:val="22"/>
                <w:szCs w:val="22"/>
                <w:lang w:val="en-AU" w:eastAsia="en-AU"/>
              </w:rPr>
            </w:pPr>
          </w:p>
        </w:tc>
        <w:tc>
          <w:tcPr>
            <w:tcW w:w="24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63D92" w:rsidRPr="00763D92" w:rsidRDefault="00763D92" w:rsidP="00763D92">
            <w:pPr>
              <w:jc w:val="center"/>
              <w:rPr>
                <w:rFonts w:eastAsia="Times New Roman"/>
                <w:color w:val="000000"/>
                <w:sz w:val="22"/>
                <w:szCs w:val="22"/>
                <w:lang w:val="en-AU" w:eastAsia="en-AU"/>
              </w:rPr>
            </w:pPr>
            <w:r w:rsidRPr="00763D92">
              <w:rPr>
                <w:rFonts w:eastAsia="Times New Roman"/>
                <w:color w:val="000000"/>
                <w:sz w:val="22"/>
                <w:szCs w:val="22"/>
                <w:lang w:val="en-AU" w:eastAsia="en-AU"/>
              </w:rPr>
              <w:t>Frequency Range (MHz)</w:t>
            </w:r>
          </w:p>
        </w:tc>
        <w:tc>
          <w:tcPr>
            <w:tcW w:w="1985" w:type="dxa"/>
            <w:tcBorders>
              <w:top w:val="single" w:sz="4" w:space="0" w:color="auto"/>
              <w:left w:val="nil"/>
              <w:bottom w:val="single" w:sz="4" w:space="0" w:color="auto"/>
              <w:right w:val="single" w:sz="4" w:space="0" w:color="auto"/>
            </w:tcBorders>
            <w:shd w:val="clear" w:color="auto" w:fill="auto"/>
            <w:noWrap/>
            <w:vAlign w:val="bottom"/>
            <w:hideMark/>
          </w:tcPr>
          <w:p w:rsidR="00763D92" w:rsidRPr="00763D92" w:rsidRDefault="00763D92" w:rsidP="00763D92">
            <w:pPr>
              <w:jc w:val="center"/>
              <w:rPr>
                <w:rFonts w:eastAsia="Times New Roman"/>
                <w:color w:val="000000"/>
                <w:sz w:val="22"/>
                <w:szCs w:val="22"/>
                <w:lang w:val="en-AU" w:eastAsia="en-AU"/>
              </w:rPr>
            </w:pPr>
            <w:r w:rsidRPr="00763D92">
              <w:rPr>
                <w:rFonts w:eastAsia="Times New Roman"/>
                <w:color w:val="000000"/>
                <w:sz w:val="22"/>
                <w:szCs w:val="22"/>
                <w:lang w:val="en-AU" w:eastAsia="en-AU"/>
              </w:rPr>
              <w:t>Bandwidth</w:t>
            </w:r>
          </w:p>
        </w:tc>
      </w:tr>
      <w:tr w:rsidR="00763D92" w:rsidRPr="00763D92" w:rsidTr="00763D92">
        <w:trPr>
          <w:trHeight w:val="300"/>
          <w:jc w:val="center"/>
        </w:trPr>
        <w:tc>
          <w:tcPr>
            <w:tcW w:w="1766" w:type="dxa"/>
            <w:tcBorders>
              <w:top w:val="single" w:sz="4" w:space="0" w:color="auto"/>
              <w:left w:val="single" w:sz="4" w:space="0" w:color="auto"/>
              <w:bottom w:val="single" w:sz="4" w:space="0" w:color="auto"/>
              <w:right w:val="nil"/>
            </w:tcBorders>
            <w:shd w:val="clear" w:color="auto" w:fill="auto"/>
            <w:noWrap/>
            <w:vAlign w:val="bottom"/>
            <w:hideMark/>
          </w:tcPr>
          <w:p w:rsidR="00763D92" w:rsidRPr="00763D92" w:rsidRDefault="00763D92" w:rsidP="00763D92">
            <w:pPr>
              <w:rPr>
                <w:rFonts w:eastAsia="Times New Roman"/>
                <w:color w:val="000000"/>
                <w:sz w:val="22"/>
                <w:szCs w:val="22"/>
                <w:lang w:val="en-AU" w:eastAsia="en-AU"/>
              </w:rPr>
            </w:pPr>
            <w:r w:rsidRPr="00763D92">
              <w:rPr>
                <w:rFonts w:eastAsia="Times New Roman"/>
                <w:color w:val="000000"/>
                <w:sz w:val="22"/>
                <w:szCs w:val="22"/>
                <w:lang w:val="en-AU" w:eastAsia="en-AU"/>
              </w:rPr>
              <w:t>Europe 1</w:t>
            </w:r>
          </w:p>
        </w:tc>
        <w:tc>
          <w:tcPr>
            <w:tcW w:w="2453" w:type="dxa"/>
            <w:tcBorders>
              <w:top w:val="nil"/>
              <w:left w:val="single" w:sz="4" w:space="0" w:color="auto"/>
              <w:bottom w:val="single" w:sz="4" w:space="0" w:color="auto"/>
              <w:right w:val="single" w:sz="4" w:space="0" w:color="auto"/>
            </w:tcBorders>
            <w:shd w:val="clear" w:color="auto" w:fill="auto"/>
            <w:noWrap/>
            <w:vAlign w:val="bottom"/>
            <w:hideMark/>
          </w:tcPr>
          <w:p w:rsidR="00763D92" w:rsidRPr="00763D92" w:rsidRDefault="00763D92" w:rsidP="00763D92">
            <w:pPr>
              <w:jc w:val="center"/>
              <w:rPr>
                <w:rFonts w:eastAsia="Times New Roman"/>
                <w:color w:val="000000"/>
                <w:sz w:val="22"/>
                <w:szCs w:val="22"/>
                <w:lang w:val="en-AU" w:eastAsia="en-AU"/>
              </w:rPr>
            </w:pPr>
            <w:r w:rsidRPr="00763D92">
              <w:rPr>
                <w:rFonts w:eastAsia="Times New Roman"/>
                <w:color w:val="000000"/>
                <w:sz w:val="22"/>
                <w:szCs w:val="22"/>
                <w:lang w:val="en-AU" w:eastAsia="en-AU"/>
              </w:rPr>
              <w:t>5,795 ~ 5,815</w:t>
            </w:r>
          </w:p>
        </w:tc>
        <w:tc>
          <w:tcPr>
            <w:tcW w:w="1985" w:type="dxa"/>
            <w:tcBorders>
              <w:top w:val="nil"/>
              <w:left w:val="nil"/>
              <w:bottom w:val="single" w:sz="4" w:space="0" w:color="auto"/>
              <w:right w:val="single" w:sz="4" w:space="0" w:color="auto"/>
            </w:tcBorders>
            <w:shd w:val="clear" w:color="auto" w:fill="auto"/>
            <w:noWrap/>
            <w:vAlign w:val="bottom"/>
            <w:hideMark/>
          </w:tcPr>
          <w:p w:rsidR="00763D92" w:rsidRPr="00763D92" w:rsidRDefault="00763D92" w:rsidP="00763D92">
            <w:pPr>
              <w:jc w:val="center"/>
              <w:rPr>
                <w:rFonts w:eastAsia="Times New Roman"/>
                <w:color w:val="000000"/>
                <w:sz w:val="22"/>
                <w:szCs w:val="22"/>
                <w:lang w:val="en-AU" w:eastAsia="en-AU"/>
              </w:rPr>
            </w:pPr>
            <w:r w:rsidRPr="00763D92">
              <w:rPr>
                <w:rFonts w:eastAsia="Times New Roman"/>
                <w:color w:val="000000"/>
                <w:sz w:val="22"/>
                <w:szCs w:val="22"/>
                <w:lang w:val="en-AU" w:eastAsia="en-AU"/>
              </w:rPr>
              <w:t>20 MHz</w:t>
            </w:r>
          </w:p>
        </w:tc>
      </w:tr>
      <w:tr w:rsidR="00763D92" w:rsidRPr="00763D92" w:rsidTr="00763D92">
        <w:trPr>
          <w:trHeight w:val="300"/>
          <w:jc w:val="center"/>
        </w:trPr>
        <w:tc>
          <w:tcPr>
            <w:tcW w:w="1766" w:type="dxa"/>
            <w:tcBorders>
              <w:top w:val="nil"/>
              <w:left w:val="single" w:sz="4" w:space="0" w:color="auto"/>
              <w:bottom w:val="single" w:sz="4" w:space="0" w:color="auto"/>
              <w:right w:val="single" w:sz="4" w:space="0" w:color="auto"/>
            </w:tcBorders>
            <w:shd w:val="clear" w:color="auto" w:fill="auto"/>
            <w:noWrap/>
            <w:vAlign w:val="bottom"/>
            <w:hideMark/>
          </w:tcPr>
          <w:p w:rsidR="00763D92" w:rsidRPr="00763D92" w:rsidRDefault="00763D92" w:rsidP="00763D92">
            <w:pPr>
              <w:rPr>
                <w:rFonts w:eastAsia="Times New Roman"/>
                <w:color w:val="000000"/>
                <w:sz w:val="22"/>
                <w:szCs w:val="22"/>
                <w:lang w:val="en-AU" w:eastAsia="en-AU"/>
              </w:rPr>
            </w:pPr>
            <w:r w:rsidRPr="00763D92">
              <w:rPr>
                <w:rFonts w:eastAsia="Times New Roman"/>
                <w:color w:val="000000"/>
                <w:sz w:val="22"/>
                <w:szCs w:val="22"/>
                <w:lang w:val="en-AU" w:eastAsia="en-AU"/>
              </w:rPr>
              <w:t>Europe 2</w:t>
            </w:r>
          </w:p>
        </w:tc>
        <w:tc>
          <w:tcPr>
            <w:tcW w:w="2453" w:type="dxa"/>
            <w:tcBorders>
              <w:top w:val="nil"/>
              <w:left w:val="nil"/>
              <w:bottom w:val="single" w:sz="4" w:space="0" w:color="auto"/>
              <w:right w:val="single" w:sz="4" w:space="0" w:color="auto"/>
            </w:tcBorders>
            <w:shd w:val="clear" w:color="auto" w:fill="auto"/>
            <w:noWrap/>
            <w:vAlign w:val="bottom"/>
            <w:hideMark/>
          </w:tcPr>
          <w:p w:rsidR="00763D92" w:rsidRPr="00763D92" w:rsidRDefault="00763D92" w:rsidP="00763D92">
            <w:pPr>
              <w:jc w:val="center"/>
              <w:rPr>
                <w:rFonts w:eastAsia="Times New Roman"/>
                <w:color w:val="000000"/>
                <w:sz w:val="22"/>
                <w:szCs w:val="22"/>
                <w:lang w:val="en-AU" w:eastAsia="en-AU"/>
              </w:rPr>
            </w:pPr>
            <w:r w:rsidRPr="00763D92">
              <w:rPr>
                <w:rFonts w:eastAsia="Times New Roman"/>
                <w:color w:val="000000"/>
                <w:sz w:val="22"/>
                <w:szCs w:val="22"/>
                <w:lang w:val="en-AU" w:eastAsia="en-AU"/>
              </w:rPr>
              <w:t>5,875 ~ 5,905</w:t>
            </w:r>
          </w:p>
        </w:tc>
        <w:tc>
          <w:tcPr>
            <w:tcW w:w="1985" w:type="dxa"/>
            <w:tcBorders>
              <w:top w:val="nil"/>
              <w:left w:val="nil"/>
              <w:bottom w:val="single" w:sz="4" w:space="0" w:color="auto"/>
              <w:right w:val="single" w:sz="4" w:space="0" w:color="auto"/>
            </w:tcBorders>
            <w:shd w:val="clear" w:color="auto" w:fill="auto"/>
            <w:noWrap/>
            <w:vAlign w:val="bottom"/>
            <w:hideMark/>
          </w:tcPr>
          <w:p w:rsidR="00763D92" w:rsidRPr="00763D92" w:rsidRDefault="00763D92" w:rsidP="00763D92">
            <w:pPr>
              <w:jc w:val="center"/>
              <w:rPr>
                <w:rFonts w:eastAsia="Times New Roman"/>
                <w:color w:val="000000"/>
                <w:sz w:val="22"/>
                <w:szCs w:val="22"/>
                <w:lang w:val="en-AU" w:eastAsia="en-AU"/>
              </w:rPr>
            </w:pPr>
            <w:r w:rsidRPr="00763D92">
              <w:rPr>
                <w:rFonts w:eastAsia="Times New Roman"/>
                <w:color w:val="000000"/>
                <w:sz w:val="22"/>
                <w:szCs w:val="22"/>
                <w:lang w:val="en-AU" w:eastAsia="en-AU"/>
              </w:rPr>
              <w:t>30 MHz</w:t>
            </w:r>
          </w:p>
        </w:tc>
      </w:tr>
      <w:tr w:rsidR="00763D92" w:rsidRPr="00763D92" w:rsidTr="00763D92">
        <w:trPr>
          <w:trHeight w:val="300"/>
          <w:jc w:val="center"/>
        </w:trPr>
        <w:tc>
          <w:tcPr>
            <w:tcW w:w="1766" w:type="dxa"/>
            <w:tcBorders>
              <w:top w:val="nil"/>
              <w:left w:val="single" w:sz="4" w:space="0" w:color="auto"/>
              <w:bottom w:val="single" w:sz="4" w:space="0" w:color="auto"/>
              <w:right w:val="single" w:sz="4" w:space="0" w:color="auto"/>
            </w:tcBorders>
            <w:shd w:val="clear" w:color="auto" w:fill="auto"/>
            <w:noWrap/>
            <w:vAlign w:val="bottom"/>
            <w:hideMark/>
          </w:tcPr>
          <w:p w:rsidR="00763D92" w:rsidRPr="00763D92" w:rsidRDefault="00763D92" w:rsidP="00763D92">
            <w:pPr>
              <w:rPr>
                <w:rFonts w:eastAsia="Times New Roman"/>
                <w:color w:val="000000"/>
                <w:sz w:val="22"/>
                <w:szCs w:val="22"/>
                <w:lang w:val="en-AU" w:eastAsia="en-AU"/>
              </w:rPr>
            </w:pPr>
            <w:r w:rsidRPr="00763D92">
              <w:rPr>
                <w:rFonts w:eastAsia="Times New Roman"/>
                <w:color w:val="000000"/>
                <w:sz w:val="22"/>
                <w:szCs w:val="22"/>
                <w:lang w:val="en-AU" w:eastAsia="en-AU"/>
              </w:rPr>
              <w:t>North America 1</w:t>
            </w:r>
          </w:p>
        </w:tc>
        <w:tc>
          <w:tcPr>
            <w:tcW w:w="2453" w:type="dxa"/>
            <w:tcBorders>
              <w:top w:val="nil"/>
              <w:left w:val="nil"/>
              <w:bottom w:val="single" w:sz="4" w:space="0" w:color="auto"/>
              <w:right w:val="single" w:sz="4" w:space="0" w:color="auto"/>
            </w:tcBorders>
            <w:shd w:val="clear" w:color="auto" w:fill="auto"/>
            <w:noWrap/>
            <w:vAlign w:val="bottom"/>
            <w:hideMark/>
          </w:tcPr>
          <w:p w:rsidR="00763D92" w:rsidRPr="00763D92" w:rsidRDefault="00763D92" w:rsidP="00763D92">
            <w:pPr>
              <w:jc w:val="center"/>
              <w:rPr>
                <w:rFonts w:eastAsia="Times New Roman"/>
                <w:color w:val="000000"/>
                <w:sz w:val="22"/>
                <w:szCs w:val="22"/>
                <w:lang w:val="en-AU" w:eastAsia="en-AU"/>
              </w:rPr>
            </w:pPr>
            <w:r w:rsidRPr="00763D92">
              <w:rPr>
                <w:rFonts w:eastAsia="Times New Roman"/>
                <w:color w:val="000000"/>
                <w:sz w:val="22"/>
                <w:szCs w:val="22"/>
                <w:lang w:val="en-AU" w:eastAsia="en-AU"/>
              </w:rPr>
              <w:t>902 ~ 928</w:t>
            </w:r>
          </w:p>
        </w:tc>
        <w:tc>
          <w:tcPr>
            <w:tcW w:w="1985" w:type="dxa"/>
            <w:tcBorders>
              <w:top w:val="nil"/>
              <w:left w:val="nil"/>
              <w:bottom w:val="single" w:sz="4" w:space="0" w:color="auto"/>
              <w:right w:val="single" w:sz="4" w:space="0" w:color="auto"/>
            </w:tcBorders>
            <w:shd w:val="clear" w:color="auto" w:fill="auto"/>
            <w:noWrap/>
            <w:vAlign w:val="bottom"/>
            <w:hideMark/>
          </w:tcPr>
          <w:p w:rsidR="00763D92" w:rsidRPr="00763D92" w:rsidRDefault="00763D92" w:rsidP="00763D92">
            <w:pPr>
              <w:jc w:val="center"/>
              <w:rPr>
                <w:rFonts w:eastAsia="Times New Roman"/>
                <w:color w:val="000000"/>
                <w:sz w:val="22"/>
                <w:szCs w:val="22"/>
                <w:lang w:val="en-AU" w:eastAsia="en-AU"/>
              </w:rPr>
            </w:pPr>
            <w:r w:rsidRPr="00763D92">
              <w:rPr>
                <w:rFonts w:eastAsia="Times New Roman"/>
                <w:color w:val="000000"/>
                <w:sz w:val="22"/>
                <w:szCs w:val="22"/>
                <w:lang w:val="en-AU" w:eastAsia="en-AU"/>
              </w:rPr>
              <w:t>26 MHz</w:t>
            </w:r>
          </w:p>
        </w:tc>
      </w:tr>
      <w:tr w:rsidR="00763D92" w:rsidRPr="00763D92" w:rsidTr="00763D92">
        <w:trPr>
          <w:trHeight w:val="300"/>
          <w:jc w:val="center"/>
        </w:trPr>
        <w:tc>
          <w:tcPr>
            <w:tcW w:w="1766" w:type="dxa"/>
            <w:tcBorders>
              <w:top w:val="nil"/>
              <w:left w:val="single" w:sz="4" w:space="0" w:color="auto"/>
              <w:bottom w:val="single" w:sz="4" w:space="0" w:color="auto"/>
              <w:right w:val="single" w:sz="4" w:space="0" w:color="auto"/>
            </w:tcBorders>
            <w:shd w:val="clear" w:color="auto" w:fill="auto"/>
            <w:noWrap/>
            <w:vAlign w:val="bottom"/>
            <w:hideMark/>
          </w:tcPr>
          <w:p w:rsidR="00763D92" w:rsidRPr="00763D92" w:rsidRDefault="00763D92" w:rsidP="00763D92">
            <w:pPr>
              <w:rPr>
                <w:rFonts w:eastAsia="Times New Roman"/>
                <w:color w:val="000000"/>
                <w:sz w:val="22"/>
                <w:szCs w:val="22"/>
                <w:lang w:val="en-AU" w:eastAsia="en-AU"/>
              </w:rPr>
            </w:pPr>
            <w:r w:rsidRPr="00763D92">
              <w:rPr>
                <w:rFonts w:eastAsia="Times New Roman"/>
                <w:color w:val="000000"/>
                <w:sz w:val="22"/>
                <w:szCs w:val="22"/>
                <w:lang w:val="en-AU" w:eastAsia="en-AU"/>
              </w:rPr>
              <w:t>North America 2</w:t>
            </w:r>
          </w:p>
        </w:tc>
        <w:tc>
          <w:tcPr>
            <w:tcW w:w="2453" w:type="dxa"/>
            <w:tcBorders>
              <w:top w:val="nil"/>
              <w:left w:val="nil"/>
              <w:bottom w:val="single" w:sz="4" w:space="0" w:color="auto"/>
              <w:right w:val="single" w:sz="4" w:space="0" w:color="auto"/>
            </w:tcBorders>
            <w:shd w:val="clear" w:color="auto" w:fill="auto"/>
            <w:noWrap/>
            <w:vAlign w:val="bottom"/>
            <w:hideMark/>
          </w:tcPr>
          <w:p w:rsidR="00763D92" w:rsidRPr="00763D92" w:rsidRDefault="00763D92" w:rsidP="00763D92">
            <w:pPr>
              <w:jc w:val="center"/>
              <w:rPr>
                <w:rFonts w:eastAsia="Times New Roman"/>
                <w:color w:val="000000"/>
                <w:sz w:val="22"/>
                <w:szCs w:val="22"/>
                <w:lang w:val="en-AU" w:eastAsia="en-AU"/>
              </w:rPr>
            </w:pPr>
            <w:r w:rsidRPr="00763D92">
              <w:rPr>
                <w:rFonts w:eastAsia="Times New Roman"/>
                <w:color w:val="000000"/>
                <w:sz w:val="22"/>
                <w:szCs w:val="22"/>
                <w:lang w:val="en-AU" w:eastAsia="en-AU"/>
              </w:rPr>
              <w:t>5,850 ~ 5,925</w:t>
            </w:r>
          </w:p>
        </w:tc>
        <w:tc>
          <w:tcPr>
            <w:tcW w:w="1985" w:type="dxa"/>
            <w:tcBorders>
              <w:top w:val="nil"/>
              <w:left w:val="nil"/>
              <w:bottom w:val="single" w:sz="4" w:space="0" w:color="auto"/>
              <w:right w:val="single" w:sz="4" w:space="0" w:color="auto"/>
            </w:tcBorders>
            <w:shd w:val="clear" w:color="auto" w:fill="auto"/>
            <w:noWrap/>
            <w:vAlign w:val="bottom"/>
            <w:hideMark/>
          </w:tcPr>
          <w:p w:rsidR="00763D92" w:rsidRPr="00763D92" w:rsidRDefault="00763D92" w:rsidP="00763D92">
            <w:pPr>
              <w:jc w:val="center"/>
              <w:rPr>
                <w:rFonts w:eastAsia="Times New Roman"/>
                <w:color w:val="000000"/>
                <w:sz w:val="22"/>
                <w:szCs w:val="22"/>
                <w:lang w:val="en-AU" w:eastAsia="en-AU"/>
              </w:rPr>
            </w:pPr>
            <w:r w:rsidRPr="00763D92">
              <w:rPr>
                <w:rFonts w:eastAsia="Times New Roman"/>
                <w:color w:val="000000"/>
                <w:sz w:val="22"/>
                <w:szCs w:val="22"/>
                <w:lang w:val="en-AU" w:eastAsia="en-AU"/>
              </w:rPr>
              <w:t>75 MHz</w:t>
            </w:r>
          </w:p>
        </w:tc>
      </w:tr>
      <w:tr w:rsidR="00763D92" w:rsidRPr="00763D92" w:rsidTr="00763D92">
        <w:trPr>
          <w:trHeight w:val="300"/>
          <w:jc w:val="center"/>
        </w:trPr>
        <w:tc>
          <w:tcPr>
            <w:tcW w:w="1766" w:type="dxa"/>
            <w:tcBorders>
              <w:top w:val="nil"/>
              <w:left w:val="single" w:sz="4" w:space="0" w:color="auto"/>
              <w:bottom w:val="single" w:sz="4" w:space="0" w:color="auto"/>
              <w:right w:val="single" w:sz="4" w:space="0" w:color="auto"/>
            </w:tcBorders>
            <w:shd w:val="clear" w:color="auto" w:fill="auto"/>
            <w:noWrap/>
            <w:vAlign w:val="bottom"/>
            <w:hideMark/>
          </w:tcPr>
          <w:p w:rsidR="00763D92" w:rsidRPr="00763D92" w:rsidRDefault="00763D92" w:rsidP="00763D92">
            <w:pPr>
              <w:rPr>
                <w:rFonts w:eastAsia="Times New Roman"/>
                <w:color w:val="000000"/>
                <w:sz w:val="22"/>
                <w:szCs w:val="22"/>
                <w:lang w:val="en-AU" w:eastAsia="en-AU"/>
              </w:rPr>
            </w:pPr>
            <w:r w:rsidRPr="00763D92">
              <w:rPr>
                <w:rFonts w:eastAsia="Times New Roman"/>
                <w:color w:val="000000"/>
                <w:sz w:val="22"/>
                <w:szCs w:val="22"/>
                <w:lang w:val="en-AU" w:eastAsia="en-AU"/>
              </w:rPr>
              <w:t>Japan 1</w:t>
            </w:r>
          </w:p>
        </w:tc>
        <w:tc>
          <w:tcPr>
            <w:tcW w:w="2453" w:type="dxa"/>
            <w:tcBorders>
              <w:top w:val="nil"/>
              <w:left w:val="nil"/>
              <w:bottom w:val="single" w:sz="4" w:space="0" w:color="auto"/>
              <w:right w:val="single" w:sz="4" w:space="0" w:color="auto"/>
            </w:tcBorders>
            <w:shd w:val="clear" w:color="auto" w:fill="auto"/>
            <w:noWrap/>
            <w:vAlign w:val="bottom"/>
            <w:hideMark/>
          </w:tcPr>
          <w:p w:rsidR="00763D92" w:rsidRPr="00763D92" w:rsidRDefault="00763D92" w:rsidP="00763D92">
            <w:pPr>
              <w:jc w:val="center"/>
              <w:rPr>
                <w:rFonts w:eastAsia="Times New Roman"/>
                <w:color w:val="000000"/>
                <w:sz w:val="22"/>
                <w:szCs w:val="22"/>
                <w:lang w:val="en-AU" w:eastAsia="en-AU"/>
              </w:rPr>
            </w:pPr>
            <w:r w:rsidRPr="00763D92">
              <w:rPr>
                <w:rFonts w:eastAsia="Times New Roman"/>
                <w:color w:val="000000"/>
                <w:sz w:val="22"/>
                <w:szCs w:val="22"/>
                <w:lang w:val="en-AU" w:eastAsia="en-AU"/>
              </w:rPr>
              <w:t>710 ~ 730</w:t>
            </w:r>
          </w:p>
        </w:tc>
        <w:tc>
          <w:tcPr>
            <w:tcW w:w="1985" w:type="dxa"/>
            <w:tcBorders>
              <w:top w:val="nil"/>
              <w:left w:val="nil"/>
              <w:bottom w:val="single" w:sz="4" w:space="0" w:color="auto"/>
              <w:right w:val="single" w:sz="4" w:space="0" w:color="auto"/>
            </w:tcBorders>
            <w:shd w:val="clear" w:color="auto" w:fill="auto"/>
            <w:noWrap/>
            <w:vAlign w:val="bottom"/>
            <w:hideMark/>
          </w:tcPr>
          <w:p w:rsidR="00763D92" w:rsidRPr="00763D92" w:rsidRDefault="00763D92" w:rsidP="00763D92">
            <w:pPr>
              <w:jc w:val="center"/>
              <w:rPr>
                <w:rFonts w:eastAsia="Times New Roman"/>
                <w:color w:val="000000"/>
                <w:sz w:val="22"/>
                <w:szCs w:val="22"/>
                <w:lang w:val="en-AU" w:eastAsia="en-AU"/>
              </w:rPr>
            </w:pPr>
            <w:r w:rsidRPr="00763D92">
              <w:rPr>
                <w:rFonts w:eastAsia="Times New Roman"/>
                <w:color w:val="000000"/>
                <w:sz w:val="22"/>
                <w:szCs w:val="22"/>
                <w:lang w:val="en-AU" w:eastAsia="en-AU"/>
              </w:rPr>
              <w:t>10MHz in this band</w:t>
            </w:r>
          </w:p>
        </w:tc>
      </w:tr>
      <w:tr w:rsidR="00763D92" w:rsidRPr="00763D92" w:rsidTr="00763D92">
        <w:trPr>
          <w:trHeight w:val="300"/>
          <w:jc w:val="center"/>
        </w:trPr>
        <w:tc>
          <w:tcPr>
            <w:tcW w:w="1766" w:type="dxa"/>
            <w:tcBorders>
              <w:top w:val="nil"/>
              <w:left w:val="single" w:sz="4" w:space="0" w:color="auto"/>
              <w:bottom w:val="single" w:sz="4" w:space="0" w:color="auto"/>
              <w:right w:val="single" w:sz="4" w:space="0" w:color="auto"/>
            </w:tcBorders>
            <w:shd w:val="clear" w:color="auto" w:fill="auto"/>
            <w:noWrap/>
            <w:vAlign w:val="bottom"/>
            <w:hideMark/>
          </w:tcPr>
          <w:p w:rsidR="00763D92" w:rsidRPr="00763D92" w:rsidRDefault="00763D92" w:rsidP="00763D92">
            <w:pPr>
              <w:rPr>
                <w:rFonts w:eastAsia="Times New Roman"/>
                <w:color w:val="000000"/>
                <w:sz w:val="22"/>
                <w:szCs w:val="22"/>
                <w:lang w:val="en-AU" w:eastAsia="en-AU"/>
              </w:rPr>
            </w:pPr>
            <w:r w:rsidRPr="00763D92">
              <w:rPr>
                <w:rFonts w:eastAsia="Times New Roman"/>
                <w:color w:val="000000"/>
                <w:sz w:val="22"/>
                <w:szCs w:val="22"/>
                <w:lang w:val="en-AU" w:eastAsia="en-AU"/>
              </w:rPr>
              <w:t>Japan 2</w:t>
            </w:r>
          </w:p>
        </w:tc>
        <w:tc>
          <w:tcPr>
            <w:tcW w:w="2453" w:type="dxa"/>
            <w:tcBorders>
              <w:top w:val="nil"/>
              <w:left w:val="nil"/>
              <w:bottom w:val="single" w:sz="4" w:space="0" w:color="auto"/>
              <w:right w:val="single" w:sz="4" w:space="0" w:color="auto"/>
            </w:tcBorders>
            <w:shd w:val="clear" w:color="auto" w:fill="auto"/>
            <w:noWrap/>
            <w:vAlign w:val="bottom"/>
            <w:hideMark/>
          </w:tcPr>
          <w:p w:rsidR="00763D92" w:rsidRPr="00763D92" w:rsidRDefault="00763D92" w:rsidP="00763D92">
            <w:pPr>
              <w:jc w:val="center"/>
              <w:rPr>
                <w:rFonts w:eastAsia="Times New Roman"/>
                <w:color w:val="000000"/>
                <w:sz w:val="22"/>
                <w:szCs w:val="22"/>
                <w:lang w:val="en-AU" w:eastAsia="en-AU"/>
              </w:rPr>
            </w:pPr>
            <w:r w:rsidRPr="00763D92">
              <w:rPr>
                <w:rFonts w:eastAsia="Times New Roman"/>
                <w:color w:val="000000"/>
                <w:sz w:val="22"/>
                <w:szCs w:val="22"/>
                <w:lang w:val="en-AU" w:eastAsia="en-AU"/>
              </w:rPr>
              <w:t>5,770 ~ 5,850</w:t>
            </w:r>
          </w:p>
        </w:tc>
        <w:tc>
          <w:tcPr>
            <w:tcW w:w="1985" w:type="dxa"/>
            <w:tcBorders>
              <w:top w:val="nil"/>
              <w:left w:val="nil"/>
              <w:bottom w:val="single" w:sz="4" w:space="0" w:color="auto"/>
              <w:right w:val="single" w:sz="4" w:space="0" w:color="auto"/>
            </w:tcBorders>
            <w:shd w:val="clear" w:color="auto" w:fill="auto"/>
            <w:noWrap/>
            <w:vAlign w:val="bottom"/>
            <w:hideMark/>
          </w:tcPr>
          <w:p w:rsidR="00763D92" w:rsidRPr="00763D92" w:rsidRDefault="00763D92" w:rsidP="00763D92">
            <w:pPr>
              <w:jc w:val="center"/>
              <w:rPr>
                <w:rFonts w:eastAsia="Times New Roman"/>
                <w:color w:val="000000"/>
                <w:sz w:val="22"/>
                <w:szCs w:val="22"/>
                <w:lang w:val="en-AU" w:eastAsia="en-AU"/>
              </w:rPr>
            </w:pPr>
            <w:r w:rsidRPr="00763D92">
              <w:rPr>
                <w:rFonts w:eastAsia="Times New Roman"/>
                <w:color w:val="000000"/>
                <w:sz w:val="22"/>
                <w:szCs w:val="22"/>
                <w:lang w:val="en-AU" w:eastAsia="en-AU"/>
              </w:rPr>
              <w:t>80 MHz</w:t>
            </w:r>
          </w:p>
        </w:tc>
      </w:tr>
    </w:tbl>
    <w:p w:rsidR="00F10E80" w:rsidRPr="00463248" w:rsidRDefault="00F10E80" w:rsidP="00763D92">
      <w:pPr>
        <w:spacing w:after="120"/>
        <w:jc w:val="center"/>
        <w:rPr>
          <w:bCs/>
          <w:sz w:val="22"/>
          <w:szCs w:val="22"/>
          <w:lang w:val="en-AU" w:eastAsia="en-AU"/>
        </w:rPr>
      </w:pPr>
    </w:p>
    <w:p w:rsidR="00F10E80" w:rsidRPr="00463248" w:rsidRDefault="00F10E80" w:rsidP="00456762">
      <w:pPr>
        <w:spacing w:after="120"/>
        <w:jc w:val="both"/>
        <w:rPr>
          <w:bCs/>
          <w:sz w:val="22"/>
          <w:szCs w:val="22"/>
          <w:lang w:val="en-AU" w:eastAsia="en-AU"/>
        </w:rPr>
      </w:pPr>
      <w:r w:rsidRPr="00463248">
        <w:rPr>
          <w:bCs/>
          <w:sz w:val="22"/>
          <w:szCs w:val="22"/>
          <w:lang w:val="en-AU" w:eastAsia="en-AU"/>
        </w:rPr>
        <w:t xml:space="preserve">As seen from Table </w:t>
      </w:r>
      <w:r w:rsidR="00065A14" w:rsidRPr="00463248">
        <w:rPr>
          <w:bCs/>
          <w:sz w:val="22"/>
          <w:szCs w:val="22"/>
          <w:lang w:val="en-AU" w:eastAsia="en-AU"/>
        </w:rPr>
        <w:t>1, 5.9GHz</w:t>
      </w:r>
      <w:r w:rsidRPr="00463248">
        <w:rPr>
          <w:bCs/>
          <w:sz w:val="22"/>
          <w:szCs w:val="22"/>
          <w:lang w:val="en-AU" w:eastAsia="en-AU"/>
        </w:rPr>
        <w:t xml:space="preserve"> is </w:t>
      </w:r>
      <w:r w:rsidR="00065A14" w:rsidRPr="00463248">
        <w:rPr>
          <w:bCs/>
          <w:sz w:val="22"/>
          <w:szCs w:val="22"/>
          <w:lang w:val="en-AU" w:eastAsia="en-AU"/>
        </w:rPr>
        <w:t xml:space="preserve">a </w:t>
      </w:r>
      <w:r w:rsidRPr="00463248">
        <w:rPr>
          <w:bCs/>
          <w:sz w:val="22"/>
          <w:szCs w:val="22"/>
          <w:lang w:val="en-AU" w:eastAsia="en-AU"/>
        </w:rPr>
        <w:t xml:space="preserve">widely recognised and allocated </w:t>
      </w:r>
      <w:r w:rsidR="00065A14" w:rsidRPr="00463248">
        <w:rPr>
          <w:bCs/>
          <w:sz w:val="22"/>
          <w:szCs w:val="22"/>
          <w:lang w:val="en-AU" w:eastAsia="en-AU"/>
        </w:rPr>
        <w:t>frequency band around</w:t>
      </w:r>
      <w:r w:rsidRPr="00463248">
        <w:rPr>
          <w:bCs/>
          <w:sz w:val="22"/>
          <w:szCs w:val="22"/>
          <w:lang w:val="en-AU" w:eastAsia="en-AU"/>
        </w:rPr>
        <w:t xml:space="preserve"> the world for ITS. </w:t>
      </w:r>
      <w:r w:rsidR="0036396E">
        <w:rPr>
          <w:bCs/>
          <w:sz w:val="22"/>
          <w:szCs w:val="22"/>
          <w:lang w:val="en-AU" w:eastAsia="en-AU"/>
        </w:rPr>
        <w:t>Hence, we propose following</w:t>
      </w:r>
      <w:r w:rsidRPr="00463248">
        <w:rPr>
          <w:bCs/>
          <w:sz w:val="22"/>
          <w:szCs w:val="22"/>
          <w:lang w:val="en-AU" w:eastAsia="en-AU"/>
        </w:rPr>
        <w:t>:</w:t>
      </w:r>
    </w:p>
    <w:p w:rsidR="00F10E80" w:rsidRPr="00463248" w:rsidRDefault="00F10E80" w:rsidP="00763D92">
      <w:pPr>
        <w:spacing w:after="240"/>
        <w:jc w:val="both"/>
        <w:rPr>
          <w:b/>
          <w:bCs/>
          <w:i/>
          <w:sz w:val="22"/>
          <w:szCs w:val="22"/>
          <w:lang w:val="en-AU" w:eastAsia="en-AU"/>
        </w:rPr>
      </w:pPr>
      <w:r w:rsidRPr="00463248">
        <w:rPr>
          <w:b/>
          <w:bCs/>
          <w:i/>
          <w:sz w:val="22"/>
          <w:szCs w:val="22"/>
          <w:lang w:val="en-AU" w:eastAsia="en-AU"/>
        </w:rPr>
        <w:t xml:space="preserve">Proposal 2: For the dedicated </w:t>
      </w:r>
      <w:r w:rsidR="00763D92" w:rsidRPr="00463248">
        <w:rPr>
          <w:b/>
          <w:bCs/>
          <w:i/>
          <w:sz w:val="22"/>
          <w:szCs w:val="22"/>
          <w:lang w:val="en-AU" w:eastAsia="en-AU"/>
        </w:rPr>
        <w:t>V2X spectrum</w:t>
      </w:r>
      <w:r w:rsidRPr="00463248">
        <w:rPr>
          <w:b/>
          <w:bCs/>
          <w:i/>
          <w:sz w:val="22"/>
          <w:szCs w:val="22"/>
          <w:lang w:val="en-AU" w:eastAsia="en-AU"/>
        </w:rPr>
        <w:t xml:space="preserve"> scenario, it is proposed to focus on </w:t>
      </w:r>
      <w:r w:rsidR="00065A14" w:rsidRPr="00463248">
        <w:rPr>
          <w:b/>
          <w:bCs/>
          <w:i/>
          <w:sz w:val="22"/>
          <w:szCs w:val="22"/>
          <w:lang w:val="en-AU" w:eastAsia="en-AU"/>
        </w:rPr>
        <w:t xml:space="preserve">at least </w:t>
      </w:r>
      <w:r w:rsidRPr="00463248">
        <w:rPr>
          <w:b/>
          <w:bCs/>
          <w:i/>
          <w:sz w:val="22"/>
          <w:szCs w:val="22"/>
          <w:lang w:val="en-AU" w:eastAsia="en-AU"/>
        </w:rPr>
        <w:t>the high frequency band 5.9GHz case.</w:t>
      </w:r>
    </w:p>
    <w:p w:rsidR="005C0CBF" w:rsidRPr="00463248" w:rsidRDefault="005E533A" w:rsidP="00DD3705">
      <w:pPr>
        <w:pStyle w:val="Heading2"/>
        <w:tabs>
          <w:tab w:val="clear" w:pos="2694"/>
          <w:tab w:val="num" w:pos="2977"/>
        </w:tabs>
        <w:spacing w:after="120"/>
        <w:ind w:left="567"/>
        <w:jc w:val="both"/>
        <w:rPr>
          <w:sz w:val="22"/>
          <w:lang w:val="en-AU" w:eastAsia="en-AU"/>
        </w:rPr>
      </w:pPr>
      <w:r w:rsidRPr="00463248">
        <w:rPr>
          <w:sz w:val="22"/>
          <w:lang w:val="en-AU" w:eastAsia="en-AU"/>
        </w:rPr>
        <w:t>Assumptions</w:t>
      </w:r>
    </w:p>
    <w:p w:rsidR="00995754" w:rsidRPr="00463248" w:rsidRDefault="00995754" w:rsidP="00C1301A">
      <w:pPr>
        <w:spacing w:after="120"/>
        <w:jc w:val="both"/>
        <w:rPr>
          <w:bCs/>
          <w:sz w:val="22"/>
          <w:u w:val="single"/>
          <w:lang w:val="en-AU"/>
        </w:rPr>
      </w:pPr>
      <w:r w:rsidRPr="00463248">
        <w:rPr>
          <w:bCs/>
          <w:sz w:val="22"/>
          <w:u w:val="single"/>
          <w:lang w:val="en-AU"/>
        </w:rPr>
        <w:t>Power control assumption</w:t>
      </w:r>
    </w:p>
    <w:p w:rsidR="0011778C" w:rsidRPr="00463248" w:rsidRDefault="0011778C" w:rsidP="0011778C">
      <w:pPr>
        <w:spacing w:after="120"/>
        <w:jc w:val="both"/>
        <w:rPr>
          <w:bCs/>
          <w:sz w:val="22"/>
          <w:szCs w:val="22"/>
          <w:lang w:val="en-AU"/>
        </w:rPr>
      </w:pPr>
      <w:r w:rsidRPr="00463248">
        <w:rPr>
          <w:bCs/>
          <w:sz w:val="22"/>
          <w:szCs w:val="22"/>
          <w:lang w:val="en-AU"/>
        </w:rPr>
        <w:t xml:space="preserve">The principle of power control mechanism in Rel-12 ProSe D2D is to minimise the amount of interference to WAN UL operation while maximising the coverage of D2D transmission range. Therefore, while in-network coverage, D2D transmissions often can be heard by the local eNB and hence strict control of Tx parameters by the eNB is necessary. </w:t>
      </w:r>
    </w:p>
    <w:p w:rsidR="0011778C" w:rsidRPr="00463248" w:rsidRDefault="0011778C" w:rsidP="0011778C">
      <w:pPr>
        <w:spacing w:after="120"/>
        <w:jc w:val="both"/>
        <w:rPr>
          <w:bCs/>
          <w:sz w:val="22"/>
          <w:szCs w:val="22"/>
          <w:lang w:val="en-AU"/>
        </w:rPr>
      </w:pPr>
      <w:r w:rsidRPr="00463248">
        <w:rPr>
          <w:bCs/>
          <w:sz w:val="22"/>
          <w:szCs w:val="22"/>
          <w:lang w:val="en-AU"/>
        </w:rPr>
        <w:lastRenderedPageBreak/>
        <w:t xml:space="preserve">In V2X, on the other hand, message transmission </w:t>
      </w:r>
      <w:r w:rsidR="00CE20D3" w:rsidRPr="00463248">
        <w:rPr>
          <w:bCs/>
          <w:sz w:val="22"/>
          <w:szCs w:val="22"/>
          <w:lang w:val="en-AU"/>
        </w:rPr>
        <w:t>in most cases (especially over the PC5 interface) is intended for UEs that are within the immediate vicinity. According to [2], the target transmission range</w:t>
      </w:r>
      <w:r w:rsidR="00945D4A">
        <w:rPr>
          <w:bCs/>
          <w:sz w:val="22"/>
          <w:szCs w:val="22"/>
          <w:lang w:val="en-AU"/>
        </w:rPr>
        <w:t>s</w:t>
      </w:r>
      <w:r w:rsidR="00CE20D3" w:rsidRPr="00463248">
        <w:rPr>
          <w:bCs/>
          <w:sz w:val="22"/>
          <w:szCs w:val="22"/>
          <w:lang w:val="en-AU"/>
        </w:rPr>
        <w:t xml:space="preserve"> from a minimum of 50m up to a maximum</w:t>
      </w:r>
      <w:r w:rsidR="00945D4A">
        <w:rPr>
          <w:bCs/>
          <w:sz w:val="22"/>
          <w:szCs w:val="22"/>
          <w:lang w:val="en-AU"/>
        </w:rPr>
        <w:t xml:space="preserve"> of</w:t>
      </w:r>
      <w:r w:rsidR="00CE20D3" w:rsidRPr="00463248">
        <w:rPr>
          <w:bCs/>
          <w:sz w:val="22"/>
          <w:szCs w:val="22"/>
          <w:lang w:val="en-AU"/>
        </w:rPr>
        <w:t xml:space="preserve"> 320m</w:t>
      </w:r>
      <w:r w:rsidR="00CA7345" w:rsidRPr="00463248">
        <w:rPr>
          <w:bCs/>
          <w:sz w:val="22"/>
          <w:szCs w:val="22"/>
          <w:lang w:val="en-AU"/>
        </w:rPr>
        <w:t>, depending on the travelling or the detected travelling speed</w:t>
      </w:r>
      <w:r w:rsidR="00CE20D3" w:rsidRPr="00463248">
        <w:rPr>
          <w:bCs/>
          <w:sz w:val="22"/>
          <w:szCs w:val="22"/>
          <w:lang w:val="en-AU"/>
        </w:rPr>
        <w:t xml:space="preserve">. </w:t>
      </w:r>
      <w:r w:rsidR="00CA7345" w:rsidRPr="00463248">
        <w:rPr>
          <w:bCs/>
          <w:sz w:val="22"/>
          <w:szCs w:val="22"/>
          <w:lang w:val="en-AU"/>
        </w:rPr>
        <w:t xml:space="preserve">Therefore, in most cases, it is expected that the local eNB will not </w:t>
      </w:r>
      <w:r w:rsidR="00945D4A">
        <w:rPr>
          <w:bCs/>
          <w:sz w:val="22"/>
          <w:szCs w:val="22"/>
          <w:lang w:val="en-AU"/>
        </w:rPr>
        <w:t xml:space="preserve">be </w:t>
      </w:r>
      <w:r w:rsidR="00CA7345" w:rsidRPr="00463248">
        <w:rPr>
          <w:bCs/>
          <w:sz w:val="22"/>
          <w:szCs w:val="22"/>
          <w:lang w:val="en-AU"/>
        </w:rPr>
        <w:t>able to hear V2X transmissions, unless the transmitter UE is almost right underneath.</w:t>
      </w:r>
    </w:p>
    <w:p w:rsidR="00CA7345" w:rsidRPr="00463248" w:rsidRDefault="00CA7345" w:rsidP="0011778C">
      <w:pPr>
        <w:spacing w:after="120"/>
        <w:jc w:val="both"/>
        <w:rPr>
          <w:bCs/>
          <w:sz w:val="22"/>
          <w:szCs w:val="22"/>
          <w:lang w:val="en-AU"/>
        </w:rPr>
      </w:pPr>
      <w:r w:rsidRPr="00463248">
        <w:rPr>
          <w:bCs/>
          <w:sz w:val="22"/>
          <w:szCs w:val="22"/>
          <w:lang w:val="en-AU"/>
        </w:rPr>
        <w:t xml:space="preserve">While this low transmission power </w:t>
      </w:r>
      <w:r w:rsidR="0044125C" w:rsidRPr="00463248">
        <w:rPr>
          <w:bCs/>
          <w:sz w:val="22"/>
          <w:szCs w:val="22"/>
          <w:lang w:val="en-AU"/>
        </w:rPr>
        <w:t>behaviour</w:t>
      </w:r>
      <w:r w:rsidRPr="00463248">
        <w:rPr>
          <w:bCs/>
          <w:sz w:val="22"/>
          <w:szCs w:val="22"/>
          <w:lang w:val="en-AU"/>
        </w:rPr>
        <w:t xml:space="preserve"> has certainly some merits in the network (e.g. low interference to the UL and high radio resource reuse factor), it will also pose some </w:t>
      </w:r>
      <w:r w:rsidR="001D390C" w:rsidRPr="00463248">
        <w:rPr>
          <w:bCs/>
          <w:sz w:val="22"/>
          <w:szCs w:val="22"/>
          <w:lang w:val="en-AU"/>
        </w:rPr>
        <w:t>challenges</w:t>
      </w:r>
      <w:r w:rsidRPr="00463248">
        <w:rPr>
          <w:bCs/>
          <w:sz w:val="22"/>
          <w:szCs w:val="22"/>
          <w:lang w:val="en-AU"/>
        </w:rPr>
        <w:t xml:space="preserve"> in the </w:t>
      </w:r>
      <w:r w:rsidR="001D390C" w:rsidRPr="00463248">
        <w:rPr>
          <w:bCs/>
          <w:sz w:val="22"/>
          <w:szCs w:val="22"/>
          <w:lang w:val="en-AU"/>
        </w:rPr>
        <w:t>existing</w:t>
      </w:r>
      <w:r w:rsidRPr="00463248">
        <w:rPr>
          <w:bCs/>
          <w:sz w:val="22"/>
          <w:szCs w:val="22"/>
          <w:lang w:val="en-AU"/>
        </w:rPr>
        <w:t xml:space="preserve"> si</w:t>
      </w:r>
      <w:r w:rsidR="001A71F6">
        <w:rPr>
          <w:bCs/>
          <w:sz w:val="22"/>
          <w:szCs w:val="22"/>
          <w:lang w:val="en-AU"/>
        </w:rPr>
        <w:t>delink power control mechanism.</w:t>
      </w:r>
    </w:p>
    <w:p w:rsidR="00CA7345" w:rsidRPr="00463248" w:rsidRDefault="00CA7345" w:rsidP="0011778C">
      <w:pPr>
        <w:spacing w:after="120"/>
        <w:jc w:val="both"/>
        <w:rPr>
          <w:b/>
          <w:bCs/>
          <w:i/>
          <w:sz w:val="22"/>
          <w:szCs w:val="22"/>
          <w:lang w:val="en-AU"/>
        </w:rPr>
      </w:pPr>
      <w:r w:rsidRPr="00463248">
        <w:rPr>
          <w:b/>
          <w:bCs/>
          <w:i/>
          <w:sz w:val="22"/>
          <w:szCs w:val="22"/>
          <w:lang w:val="en-AU"/>
        </w:rPr>
        <w:t>Observation 1: In realistic deployment, local/serving eNB</w:t>
      </w:r>
      <w:r w:rsidR="00945D4A">
        <w:rPr>
          <w:b/>
          <w:bCs/>
          <w:i/>
          <w:sz w:val="22"/>
          <w:szCs w:val="22"/>
          <w:lang w:val="en-AU"/>
        </w:rPr>
        <w:t xml:space="preserve">, </w:t>
      </w:r>
      <w:r w:rsidRPr="00463248">
        <w:rPr>
          <w:b/>
          <w:bCs/>
          <w:i/>
          <w:sz w:val="22"/>
          <w:szCs w:val="22"/>
          <w:lang w:val="en-AU"/>
        </w:rPr>
        <w:t>most of the time</w:t>
      </w:r>
      <w:r w:rsidR="00945D4A">
        <w:rPr>
          <w:b/>
          <w:bCs/>
          <w:i/>
          <w:sz w:val="22"/>
          <w:szCs w:val="22"/>
          <w:lang w:val="en-AU"/>
        </w:rPr>
        <w:t>,</w:t>
      </w:r>
      <w:r w:rsidRPr="00463248">
        <w:rPr>
          <w:b/>
          <w:bCs/>
          <w:i/>
          <w:sz w:val="22"/>
          <w:szCs w:val="22"/>
          <w:lang w:val="en-AU"/>
        </w:rPr>
        <w:t xml:space="preserve"> will not be able to hear V2X message transmissions in a cell to perform sidelink power control. It seems the best way</w:t>
      </w:r>
      <w:r w:rsidR="00945D4A">
        <w:rPr>
          <w:b/>
          <w:bCs/>
          <w:i/>
          <w:sz w:val="22"/>
          <w:szCs w:val="22"/>
          <w:lang w:val="en-AU"/>
        </w:rPr>
        <w:t>,</w:t>
      </w:r>
      <w:r w:rsidRPr="00463248">
        <w:rPr>
          <w:b/>
          <w:bCs/>
          <w:i/>
          <w:sz w:val="22"/>
          <w:szCs w:val="22"/>
          <w:lang w:val="en-AU"/>
        </w:rPr>
        <w:t xml:space="preserve"> at least for the purpose of evaluation</w:t>
      </w:r>
      <w:r w:rsidR="00945D4A">
        <w:rPr>
          <w:b/>
          <w:bCs/>
          <w:i/>
          <w:sz w:val="22"/>
          <w:szCs w:val="22"/>
          <w:lang w:val="en-AU"/>
        </w:rPr>
        <w:t>, is</w:t>
      </w:r>
      <w:r w:rsidRPr="00463248">
        <w:rPr>
          <w:b/>
          <w:bCs/>
          <w:i/>
          <w:sz w:val="22"/>
          <w:szCs w:val="22"/>
          <w:lang w:val="en-AU"/>
        </w:rPr>
        <w:t xml:space="preserve"> that sidelink V2X transmission power is determined by the travelling</w:t>
      </w:r>
      <w:r w:rsidR="00945D4A">
        <w:rPr>
          <w:b/>
          <w:bCs/>
          <w:i/>
          <w:sz w:val="22"/>
          <w:szCs w:val="22"/>
          <w:lang w:val="en-AU"/>
        </w:rPr>
        <w:t xml:space="preserve"> speed</w:t>
      </w:r>
      <w:r w:rsidRPr="00463248">
        <w:rPr>
          <w:b/>
          <w:bCs/>
          <w:i/>
          <w:sz w:val="22"/>
          <w:szCs w:val="22"/>
          <w:lang w:val="en-AU"/>
        </w:rPr>
        <w:t xml:space="preserve"> or the detected travelling speed. </w:t>
      </w:r>
    </w:p>
    <w:p w:rsidR="00995754" w:rsidRPr="00463248" w:rsidRDefault="00995754" w:rsidP="00C1301A">
      <w:pPr>
        <w:spacing w:after="120"/>
        <w:jc w:val="both"/>
        <w:rPr>
          <w:bCs/>
          <w:sz w:val="22"/>
          <w:u w:val="single"/>
          <w:lang w:val="en-AU"/>
        </w:rPr>
      </w:pPr>
      <w:r w:rsidRPr="00463248">
        <w:rPr>
          <w:bCs/>
          <w:sz w:val="22"/>
          <w:u w:val="single"/>
          <w:lang w:val="en-AU"/>
        </w:rPr>
        <w:t>Synchronisation assumption</w:t>
      </w:r>
    </w:p>
    <w:p w:rsidR="001D390C" w:rsidRPr="00463248" w:rsidRDefault="001D390C" w:rsidP="001D390C">
      <w:pPr>
        <w:spacing w:after="120"/>
        <w:jc w:val="both"/>
        <w:rPr>
          <w:bCs/>
          <w:sz w:val="22"/>
          <w:lang w:val="en-AU"/>
        </w:rPr>
      </w:pPr>
      <w:r w:rsidRPr="00463248">
        <w:rPr>
          <w:bCs/>
          <w:sz w:val="22"/>
          <w:lang w:val="en-AU"/>
        </w:rPr>
        <w:t xml:space="preserve">In Rel-12 ProSe D2D design, </w:t>
      </w:r>
      <w:r w:rsidR="00463248" w:rsidRPr="00463248">
        <w:rPr>
          <w:bCs/>
          <w:sz w:val="22"/>
          <w:lang w:val="en-AU"/>
        </w:rPr>
        <w:t xml:space="preserve">a common </w:t>
      </w:r>
      <w:r w:rsidR="00FB2C89">
        <w:rPr>
          <w:bCs/>
          <w:sz w:val="22"/>
          <w:lang w:val="en-AU"/>
        </w:rPr>
        <w:t>synchronis</w:t>
      </w:r>
      <w:r w:rsidR="00463248" w:rsidRPr="00463248">
        <w:rPr>
          <w:bCs/>
          <w:sz w:val="22"/>
          <w:lang w:val="en-AU"/>
        </w:rPr>
        <w:t xml:space="preserve">ation </w:t>
      </w:r>
      <w:r w:rsidR="00FB2C89">
        <w:rPr>
          <w:bCs/>
          <w:sz w:val="22"/>
          <w:lang w:val="en-AU"/>
        </w:rPr>
        <w:t>signal and</w:t>
      </w:r>
      <w:r w:rsidR="00463248" w:rsidRPr="00463248">
        <w:rPr>
          <w:bCs/>
          <w:sz w:val="22"/>
          <w:lang w:val="en-AU"/>
        </w:rPr>
        <w:t xml:space="preserve"> </w:t>
      </w:r>
      <w:r w:rsidR="00FB2C89">
        <w:rPr>
          <w:bCs/>
          <w:sz w:val="22"/>
          <w:lang w:val="en-AU"/>
        </w:rPr>
        <w:t xml:space="preserve">a complex mechanism to achieve common reference timing </w:t>
      </w:r>
      <w:r w:rsidR="00463248" w:rsidRPr="00463248">
        <w:rPr>
          <w:bCs/>
          <w:sz w:val="22"/>
          <w:lang w:val="en-AU"/>
        </w:rPr>
        <w:t>between two communicating UEs w</w:t>
      </w:r>
      <w:r w:rsidR="00FB2C89">
        <w:rPr>
          <w:bCs/>
          <w:sz w:val="22"/>
          <w:lang w:val="en-AU"/>
        </w:rPr>
        <w:t>ere</w:t>
      </w:r>
      <w:r w:rsidR="00463248" w:rsidRPr="00463248">
        <w:rPr>
          <w:bCs/>
          <w:sz w:val="22"/>
          <w:lang w:val="en-AU"/>
        </w:rPr>
        <w:t xml:space="preserve"> </w:t>
      </w:r>
      <w:r w:rsidR="00FB2C89">
        <w:rPr>
          <w:bCs/>
          <w:sz w:val="22"/>
          <w:lang w:val="en-AU"/>
        </w:rPr>
        <w:t>introduced</w:t>
      </w:r>
      <w:r w:rsidR="00463248" w:rsidRPr="00463248">
        <w:rPr>
          <w:bCs/>
          <w:sz w:val="22"/>
          <w:lang w:val="en-AU"/>
        </w:rPr>
        <w:t xml:space="preserve">. When in-coverage, this </w:t>
      </w:r>
      <w:r w:rsidR="00FB2C89">
        <w:rPr>
          <w:bCs/>
          <w:sz w:val="22"/>
          <w:lang w:val="en-AU"/>
        </w:rPr>
        <w:t>was done by utilising</w:t>
      </w:r>
      <w:r w:rsidR="00463248" w:rsidRPr="00463248">
        <w:rPr>
          <w:bCs/>
          <w:sz w:val="22"/>
          <w:lang w:val="en-AU"/>
        </w:rPr>
        <w:t xml:space="preserve"> </w:t>
      </w:r>
      <w:r w:rsidR="00FB2C89">
        <w:rPr>
          <w:bCs/>
          <w:sz w:val="22"/>
          <w:lang w:val="en-AU"/>
        </w:rPr>
        <w:t xml:space="preserve">the </w:t>
      </w:r>
      <w:r w:rsidR="00463248" w:rsidRPr="00463248">
        <w:rPr>
          <w:bCs/>
          <w:sz w:val="22"/>
          <w:lang w:val="en-AU"/>
        </w:rPr>
        <w:t>network timing (i.e. PSS/SSS). For part</w:t>
      </w:r>
      <w:r w:rsidR="00FB2C89">
        <w:rPr>
          <w:bCs/>
          <w:sz w:val="22"/>
          <w:lang w:val="en-AU"/>
        </w:rPr>
        <w:t>ial and out-of-network coverage cases</w:t>
      </w:r>
      <w:r w:rsidR="00463248" w:rsidRPr="00463248">
        <w:rPr>
          <w:bCs/>
          <w:sz w:val="22"/>
          <w:lang w:val="en-AU"/>
        </w:rPr>
        <w:t xml:space="preserve">, synchronisation </w:t>
      </w:r>
      <w:r w:rsidR="00EB5204">
        <w:rPr>
          <w:bCs/>
          <w:sz w:val="22"/>
          <w:lang w:val="en-AU"/>
        </w:rPr>
        <w:t xml:space="preserve">among UEs </w:t>
      </w:r>
      <w:r w:rsidR="00463248" w:rsidRPr="00463248">
        <w:rPr>
          <w:bCs/>
          <w:sz w:val="22"/>
          <w:lang w:val="en-AU"/>
        </w:rPr>
        <w:t>is achieved</w:t>
      </w:r>
      <w:r w:rsidR="00EB5204">
        <w:rPr>
          <w:bCs/>
          <w:sz w:val="22"/>
          <w:lang w:val="en-AU"/>
        </w:rPr>
        <w:t xml:space="preserve"> </w:t>
      </w:r>
      <w:r w:rsidR="00FB2C89">
        <w:rPr>
          <w:bCs/>
          <w:sz w:val="22"/>
          <w:lang w:val="en-AU"/>
        </w:rPr>
        <w:t xml:space="preserve">by </w:t>
      </w:r>
      <w:r w:rsidR="00EB5204">
        <w:rPr>
          <w:bCs/>
          <w:sz w:val="22"/>
          <w:lang w:val="en-AU"/>
        </w:rPr>
        <w:t>relying</w:t>
      </w:r>
      <w:r w:rsidR="00463248" w:rsidRPr="00463248">
        <w:rPr>
          <w:bCs/>
          <w:sz w:val="22"/>
          <w:lang w:val="en-AU"/>
        </w:rPr>
        <w:t xml:space="preserve"> on a UE forwarding </w:t>
      </w:r>
      <w:r w:rsidR="00FB2C89">
        <w:rPr>
          <w:bCs/>
          <w:sz w:val="22"/>
          <w:lang w:val="en-AU"/>
        </w:rPr>
        <w:t>its</w:t>
      </w:r>
      <w:r w:rsidR="00463248" w:rsidRPr="00463248">
        <w:rPr>
          <w:bCs/>
          <w:sz w:val="22"/>
          <w:lang w:val="en-AU"/>
        </w:rPr>
        <w:t xml:space="preserve"> </w:t>
      </w:r>
      <w:r w:rsidR="00EB5204">
        <w:rPr>
          <w:bCs/>
          <w:sz w:val="22"/>
          <w:lang w:val="en-AU"/>
        </w:rPr>
        <w:t>reference timing or nominating itself to become a sync</w:t>
      </w:r>
      <w:r w:rsidR="00FB2C89">
        <w:rPr>
          <w:bCs/>
          <w:sz w:val="22"/>
          <w:lang w:val="en-AU"/>
        </w:rPr>
        <w:t>hronisation</w:t>
      </w:r>
      <w:r w:rsidR="00EB5204">
        <w:rPr>
          <w:bCs/>
          <w:sz w:val="22"/>
          <w:lang w:val="en-AU"/>
        </w:rPr>
        <w:t xml:space="preserve"> source and thus transmitting PSSS/SSSS and PSBCH. </w:t>
      </w:r>
    </w:p>
    <w:p w:rsidR="00C1301A" w:rsidRDefault="00FB2C89" w:rsidP="001D390C">
      <w:pPr>
        <w:spacing w:after="120"/>
        <w:jc w:val="both"/>
        <w:rPr>
          <w:bCs/>
          <w:sz w:val="22"/>
          <w:lang w:val="en-AU"/>
        </w:rPr>
      </w:pPr>
      <w:r w:rsidRPr="00FB2C89">
        <w:rPr>
          <w:bCs/>
          <w:sz w:val="22"/>
          <w:lang w:val="en-AU"/>
        </w:rPr>
        <w:t xml:space="preserve">In LTE system, it is a common practice for eNBs to receive positioning signals (PS) </w:t>
      </w:r>
      <w:r>
        <w:rPr>
          <w:bCs/>
          <w:sz w:val="22"/>
          <w:lang w:val="en-AU"/>
        </w:rPr>
        <w:t>and use its timing to synchronise to each other</w:t>
      </w:r>
      <w:r w:rsidRPr="00FB2C89">
        <w:rPr>
          <w:bCs/>
          <w:sz w:val="22"/>
          <w:lang w:val="en-AU"/>
        </w:rPr>
        <w:t xml:space="preserve">. In the market, all smartphones have PS receiver </w:t>
      </w:r>
      <w:r w:rsidR="00C63A94" w:rsidRPr="00FB2C89">
        <w:rPr>
          <w:bCs/>
          <w:sz w:val="22"/>
          <w:lang w:val="en-AU"/>
        </w:rPr>
        <w:t>buil</w:t>
      </w:r>
      <w:r w:rsidR="00C63A94">
        <w:rPr>
          <w:bCs/>
          <w:sz w:val="22"/>
          <w:lang w:val="en-AU"/>
        </w:rPr>
        <w:t>t</w:t>
      </w:r>
      <w:r w:rsidRPr="00FB2C89">
        <w:rPr>
          <w:bCs/>
          <w:sz w:val="22"/>
          <w:lang w:val="en-AU"/>
        </w:rPr>
        <w:t>-in such that they can all determine their physical locations at any time without the need of a cellular network. In future</w:t>
      </w:r>
      <w:r w:rsidR="00021BF8" w:rsidRPr="00FB2C89">
        <w:rPr>
          <w:bCs/>
          <w:sz w:val="22"/>
          <w:lang w:val="en-AU"/>
        </w:rPr>
        <w:t xml:space="preserve"> </w:t>
      </w:r>
      <w:r w:rsidR="004239D5" w:rsidRPr="00FB2C89">
        <w:rPr>
          <w:bCs/>
          <w:sz w:val="22"/>
          <w:lang w:val="en-AU"/>
        </w:rPr>
        <w:t>V2X</w:t>
      </w:r>
      <w:r w:rsidR="00021BF8" w:rsidRPr="00FB2C89">
        <w:rPr>
          <w:bCs/>
          <w:sz w:val="22"/>
          <w:lang w:val="en-AU"/>
        </w:rPr>
        <w:t xml:space="preserve"> road-safety application</w:t>
      </w:r>
      <w:r w:rsidR="00C63A94">
        <w:rPr>
          <w:bCs/>
          <w:sz w:val="22"/>
          <w:lang w:val="en-AU"/>
        </w:rPr>
        <w:t>s</w:t>
      </w:r>
      <w:r w:rsidR="004239D5" w:rsidRPr="00FB2C89">
        <w:rPr>
          <w:bCs/>
          <w:sz w:val="22"/>
          <w:lang w:val="en-AU"/>
        </w:rPr>
        <w:t xml:space="preserve">, </w:t>
      </w:r>
      <w:r w:rsidRPr="00FB2C89">
        <w:rPr>
          <w:bCs/>
          <w:sz w:val="22"/>
          <w:lang w:val="en-AU"/>
        </w:rPr>
        <w:t xml:space="preserve">all </w:t>
      </w:r>
      <w:r w:rsidR="00021BF8" w:rsidRPr="00FB2C89">
        <w:rPr>
          <w:bCs/>
          <w:sz w:val="22"/>
          <w:lang w:val="en-AU"/>
        </w:rPr>
        <w:t xml:space="preserve">UEs and RSUs </w:t>
      </w:r>
      <w:r w:rsidRPr="00FB2C89">
        <w:rPr>
          <w:bCs/>
          <w:sz w:val="22"/>
          <w:lang w:val="en-AU"/>
        </w:rPr>
        <w:t>will be mandatory to receive</w:t>
      </w:r>
      <w:r w:rsidR="00021BF8" w:rsidRPr="00FB2C89">
        <w:rPr>
          <w:bCs/>
          <w:sz w:val="22"/>
          <w:lang w:val="en-AU"/>
        </w:rPr>
        <w:t xml:space="preserve"> </w:t>
      </w:r>
      <w:r w:rsidRPr="00FB2C89">
        <w:rPr>
          <w:bCs/>
          <w:sz w:val="22"/>
          <w:lang w:val="en-AU"/>
        </w:rPr>
        <w:t>PS</w:t>
      </w:r>
      <w:r w:rsidR="00021BF8" w:rsidRPr="00FB2C89">
        <w:rPr>
          <w:bCs/>
          <w:sz w:val="22"/>
          <w:lang w:val="en-AU"/>
        </w:rPr>
        <w:t xml:space="preserve"> </w:t>
      </w:r>
      <w:r w:rsidRPr="00FB2C89">
        <w:rPr>
          <w:bCs/>
          <w:sz w:val="22"/>
          <w:lang w:val="en-AU"/>
        </w:rPr>
        <w:t xml:space="preserve">at least </w:t>
      </w:r>
      <w:r w:rsidR="00021BF8" w:rsidRPr="00FB2C89">
        <w:rPr>
          <w:bCs/>
          <w:sz w:val="22"/>
          <w:lang w:val="en-AU"/>
        </w:rPr>
        <w:t>for the “positioning” purpose to determine its location and coordinat</w:t>
      </w:r>
      <w:r w:rsidR="00021BF8" w:rsidRPr="001A71F6">
        <w:rPr>
          <w:bCs/>
          <w:sz w:val="22"/>
          <w:lang w:val="en-AU"/>
        </w:rPr>
        <w:t xml:space="preserve">es. So it seems </w:t>
      </w:r>
      <w:r w:rsidRPr="001A71F6">
        <w:rPr>
          <w:bCs/>
          <w:sz w:val="22"/>
          <w:lang w:val="en-AU"/>
        </w:rPr>
        <w:t>naturally</w:t>
      </w:r>
      <w:r w:rsidR="001A71F6" w:rsidRPr="001A71F6">
        <w:rPr>
          <w:bCs/>
          <w:sz w:val="22"/>
          <w:lang w:val="en-AU"/>
        </w:rPr>
        <w:t>,</w:t>
      </w:r>
      <w:r w:rsidR="00021BF8" w:rsidRPr="001A71F6">
        <w:rPr>
          <w:bCs/>
          <w:sz w:val="22"/>
          <w:lang w:val="en-AU"/>
        </w:rPr>
        <w:t xml:space="preserve"> </w:t>
      </w:r>
      <w:r w:rsidR="004239D5" w:rsidRPr="001A71F6">
        <w:rPr>
          <w:bCs/>
          <w:sz w:val="22"/>
          <w:lang w:val="en-AU"/>
        </w:rPr>
        <w:t xml:space="preserve">the </w:t>
      </w:r>
      <w:r w:rsidR="001A71F6" w:rsidRPr="001A71F6">
        <w:rPr>
          <w:bCs/>
          <w:sz w:val="22"/>
          <w:lang w:val="en-AU"/>
        </w:rPr>
        <w:t>most straight forward</w:t>
      </w:r>
      <w:r w:rsidR="004239D5" w:rsidRPr="001A71F6">
        <w:rPr>
          <w:bCs/>
          <w:sz w:val="22"/>
          <w:lang w:val="en-AU"/>
        </w:rPr>
        <w:t xml:space="preserve"> approach </w:t>
      </w:r>
      <w:r w:rsidR="001A71F6" w:rsidRPr="001A71F6">
        <w:rPr>
          <w:bCs/>
          <w:sz w:val="22"/>
          <w:lang w:val="en-AU"/>
        </w:rPr>
        <w:t xml:space="preserve">to achieve a common reference timing (and thus synchronisation among V2X UEs and nodes) </w:t>
      </w:r>
      <w:r w:rsidR="004239D5" w:rsidRPr="001A71F6">
        <w:rPr>
          <w:bCs/>
          <w:sz w:val="22"/>
          <w:lang w:val="en-AU"/>
        </w:rPr>
        <w:t xml:space="preserve">is to base on the </w:t>
      </w:r>
      <w:r w:rsidR="001A71F6" w:rsidRPr="001A71F6">
        <w:rPr>
          <w:bCs/>
          <w:sz w:val="22"/>
          <w:lang w:val="en-AU"/>
        </w:rPr>
        <w:t xml:space="preserve">received </w:t>
      </w:r>
      <w:r w:rsidR="004239D5" w:rsidRPr="001A71F6">
        <w:rPr>
          <w:bCs/>
          <w:sz w:val="22"/>
          <w:lang w:val="en-AU"/>
        </w:rPr>
        <w:t>PS timing</w:t>
      </w:r>
      <w:r w:rsidR="001A71F6" w:rsidRPr="001A71F6">
        <w:rPr>
          <w:bCs/>
          <w:sz w:val="22"/>
          <w:lang w:val="en-AU"/>
        </w:rPr>
        <w:t>,</w:t>
      </w:r>
      <w:r w:rsidR="004239D5" w:rsidRPr="001A71F6">
        <w:rPr>
          <w:bCs/>
          <w:sz w:val="22"/>
          <w:lang w:val="en-AU"/>
        </w:rPr>
        <w:t xml:space="preserve"> instead of </w:t>
      </w:r>
      <w:r w:rsidR="001A71F6">
        <w:rPr>
          <w:bCs/>
          <w:sz w:val="22"/>
          <w:lang w:val="en-AU"/>
        </w:rPr>
        <w:t>the existing complicated synchronisation mechanism and priority rules in ProSe D2D.</w:t>
      </w:r>
      <w:r w:rsidR="001A71F6" w:rsidRPr="001A71F6">
        <w:rPr>
          <w:bCs/>
          <w:sz w:val="22"/>
          <w:lang w:val="en-AU"/>
        </w:rPr>
        <w:t xml:space="preserve"> In fact, if </w:t>
      </w:r>
      <w:r w:rsidR="004239D5" w:rsidRPr="001A71F6">
        <w:rPr>
          <w:bCs/>
          <w:sz w:val="22"/>
          <w:lang w:val="en-AU"/>
        </w:rPr>
        <w:t>PS based timing is adopted, possibly the existing sidelink synchronisation signals and broadcast channel may not be needed any longer in V2X</w:t>
      </w:r>
      <w:r w:rsidR="001A71F6" w:rsidRPr="001A71F6">
        <w:rPr>
          <w:bCs/>
          <w:sz w:val="22"/>
          <w:lang w:val="en-AU"/>
        </w:rPr>
        <w:t>, which in turn incurs less resource overhead and UE processing complexity (means power saving)</w:t>
      </w:r>
      <w:r w:rsidR="004239D5" w:rsidRPr="001A71F6">
        <w:rPr>
          <w:bCs/>
          <w:sz w:val="22"/>
          <w:lang w:val="en-AU"/>
        </w:rPr>
        <w:t>.</w:t>
      </w:r>
    </w:p>
    <w:p w:rsidR="001A71F6" w:rsidRPr="00463248" w:rsidRDefault="001A71F6" w:rsidP="001D390C">
      <w:pPr>
        <w:spacing w:after="120"/>
        <w:jc w:val="both"/>
        <w:rPr>
          <w:bCs/>
          <w:sz w:val="20"/>
          <w:lang w:val="en-AU"/>
        </w:rPr>
      </w:pPr>
      <w:r w:rsidRPr="00463248">
        <w:rPr>
          <w:b/>
          <w:bCs/>
          <w:i/>
          <w:sz w:val="22"/>
          <w:szCs w:val="22"/>
          <w:lang w:val="en-AU"/>
        </w:rPr>
        <w:t>Observation</w:t>
      </w:r>
      <w:r>
        <w:rPr>
          <w:b/>
          <w:bCs/>
          <w:i/>
          <w:sz w:val="22"/>
          <w:szCs w:val="22"/>
          <w:lang w:val="en-AU"/>
        </w:rPr>
        <w:t xml:space="preserve"> 2</w:t>
      </w:r>
      <w:r w:rsidRPr="00463248">
        <w:rPr>
          <w:b/>
          <w:bCs/>
          <w:i/>
          <w:sz w:val="22"/>
          <w:szCs w:val="22"/>
          <w:lang w:val="en-AU"/>
        </w:rPr>
        <w:t xml:space="preserve">: </w:t>
      </w:r>
      <w:r>
        <w:rPr>
          <w:b/>
          <w:bCs/>
          <w:i/>
          <w:sz w:val="22"/>
          <w:szCs w:val="22"/>
          <w:lang w:val="en-AU"/>
        </w:rPr>
        <w:t>It seems positioning signals like GPS could potentially be used as communication timing reference between V2X UEs and nodes to replace the existing mechanism of using PSSS/SSSS and PSBCH.</w:t>
      </w:r>
    </w:p>
    <w:p w:rsidR="00995754" w:rsidRPr="00463248" w:rsidRDefault="00C1301A" w:rsidP="00C1301A">
      <w:pPr>
        <w:spacing w:after="120"/>
        <w:jc w:val="both"/>
        <w:rPr>
          <w:bCs/>
          <w:sz w:val="22"/>
          <w:u w:val="single"/>
          <w:lang w:val="en-AU"/>
        </w:rPr>
      </w:pPr>
      <w:r w:rsidRPr="00463248">
        <w:rPr>
          <w:bCs/>
          <w:sz w:val="22"/>
          <w:u w:val="single"/>
          <w:lang w:val="en-AU"/>
        </w:rPr>
        <w:t xml:space="preserve">Interface assumption (between RSU and </w:t>
      </w:r>
      <w:r w:rsidR="00A5284B" w:rsidRPr="00463248">
        <w:rPr>
          <w:bCs/>
          <w:sz w:val="22"/>
          <w:u w:val="single"/>
          <w:lang w:val="en-AU"/>
        </w:rPr>
        <w:t xml:space="preserve">local </w:t>
      </w:r>
      <w:r w:rsidRPr="00463248">
        <w:rPr>
          <w:bCs/>
          <w:sz w:val="22"/>
          <w:u w:val="single"/>
          <w:lang w:val="en-AU"/>
        </w:rPr>
        <w:t>eNB/NW)</w:t>
      </w:r>
    </w:p>
    <w:p w:rsidR="00272E23" w:rsidRDefault="00272E23" w:rsidP="00272E23">
      <w:pPr>
        <w:spacing w:after="120"/>
        <w:jc w:val="both"/>
        <w:rPr>
          <w:bCs/>
          <w:sz w:val="22"/>
        </w:rPr>
      </w:pPr>
      <w:r w:rsidRPr="00272E23">
        <w:rPr>
          <w:bCs/>
          <w:sz w:val="22"/>
        </w:rPr>
        <w:t xml:space="preserve">In the current SID [1] and </w:t>
      </w:r>
      <w:r>
        <w:rPr>
          <w:bCs/>
          <w:sz w:val="22"/>
        </w:rPr>
        <w:t xml:space="preserve">also </w:t>
      </w:r>
      <w:r w:rsidRPr="00272E23">
        <w:rPr>
          <w:bCs/>
          <w:sz w:val="22"/>
        </w:rPr>
        <w:t xml:space="preserve">implicitly implied in SA1 TR [2], two types of RSU </w:t>
      </w:r>
      <w:r>
        <w:rPr>
          <w:bCs/>
          <w:sz w:val="22"/>
        </w:rPr>
        <w:t>that potentially can be deployed in V2X network are UE-type RSU and eNB-type RSU.</w:t>
      </w:r>
    </w:p>
    <w:p w:rsidR="00272E23" w:rsidRPr="00272E23" w:rsidRDefault="00272E23" w:rsidP="00B87E2D">
      <w:pPr>
        <w:spacing w:after="120"/>
        <w:rPr>
          <w:sz w:val="22"/>
          <w:szCs w:val="22"/>
          <w:lang w:eastAsia="ja-JP"/>
        </w:rPr>
      </w:pPr>
      <w:r w:rsidRPr="00272E23">
        <w:rPr>
          <w:bCs/>
          <w:sz w:val="22"/>
          <w:szCs w:val="22"/>
        </w:rPr>
        <w:t xml:space="preserve">For eNB-type RSU, </w:t>
      </w:r>
      <w:r w:rsidRPr="00272E23">
        <w:rPr>
          <w:sz w:val="22"/>
          <w:szCs w:val="22"/>
          <w:lang w:eastAsia="ja-JP"/>
        </w:rPr>
        <w:t>it is a</w:t>
      </w:r>
      <w:r>
        <w:rPr>
          <w:sz w:val="22"/>
          <w:szCs w:val="22"/>
          <w:lang w:eastAsia="ja-JP"/>
        </w:rPr>
        <w:t>n</w:t>
      </w:r>
      <w:r w:rsidRPr="00272E23">
        <w:rPr>
          <w:sz w:val="22"/>
          <w:szCs w:val="22"/>
          <w:lang w:eastAsia="ja-JP"/>
        </w:rPr>
        <w:t xml:space="preserve"> eNB (possibly Macro and small cell) has its own cell coverage but also acting </w:t>
      </w:r>
      <w:r>
        <w:rPr>
          <w:sz w:val="22"/>
          <w:szCs w:val="22"/>
          <w:lang w:eastAsia="ja-JP"/>
        </w:rPr>
        <w:t>as</w:t>
      </w:r>
      <w:r w:rsidRPr="00272E23">
        <w:rPr>
          <w:sz w:val="22"/>
          <w:szCs w:val="22"/>
          <w:lang w:eastAsia="ja-JP"/>
        </w:rPr>
        <w:t xml:space="preserve"> a RSU, since it can hear V2X messages from surrounding UEs. Or it can be a RRH node (like a SCell in CA) </w:t>
      </w:r>
      <w:r w:rsidRPr="00272E23">
        <w:rPr>
          <w:sz w:val="22"/>
          <w:szCs w:val="22"/>
          <w:lang w:val="en-AU" w:eastAsia="ja-JP"/>
        </w:rPr>
        <w:t>providing a normal cellular coverage (transmitting existing MIB, SIBs, synch signals, CRS and etc).</w:t>
      </w:r>
      <w:r w:rsidR="00B87E2D">
        <w:rPr>
          <w:sz w:val="22"/>
          <w:szCs w:val="22"/>
          <w:lang w:val="en-AU" w:eastAsia="ja-JP"/>
        </w:rPr>
        <w:t xml:space="preserve"> In either case, the eNB-type RSU is likely to connect to the backbone network (ITS server) through high-speed dedicated link (e.g. optical fibre, microwave).</w:t>
      </w:r>
    </w:p>
    <w:p w:rsidR="00B87E2D" w:rsidRDefault="00B87E2D" w:rsidP="00B87E2D">
      <w:pPr>
        <w:spacing w:after="120"/>
        <w:jc w:val="both"/>
        <w:rPr>
          <w:sz w:val="22"/>
          <w:lang w:eastAsia="ja-JP"/>
        </w:rPr>
      </w:pPr>
      <w:r w:rsidRPr="00B87E2D">
        <w:rPr>
          <w:sz w:val="22"/>
          <w:lang w:eastAsia="ja-JP"/>
        </w:rPr>
        <w:t xml:space="preserve">For the UE-type RSU (expected to be the most common case), its communication with the local eNB in </w:t>
      </w:r>
      <w:r w:rsidR="00481D44">
        <w:rPr>
          <w:sz w:val="22"/>
          <w:lang w:eastAsia="ja-JP"/>
        </w:rPr>
        <w:t>our</w:t>
      </w:r>
      <w:r w:rsidRPr="00B87E2D">
        <w:rPr>
          <w:sz w:val="22"/>
          <w:lang w:eastAsia="ja-JP"/>
        </w:rPr>
        <w:t xml:space="preserve"> initial view </w:t>
      </w:r>
      <w:r w:rsidR="00481D44">
        <w:rPr>
          <w:sz w:val="22"/>
          <w:lang w:eastAsia="ja-JP"/>
        </w:rPr>
        <w:t>would</w:t>
      </w:r>
      <w:r w:rsidRPr="00B87E2D">
        <w:rPr>
          <w:sz w:val="22"/>
          <w:lang w:eastAsia="ja-JP"/>
        </w:rPr>
        <w:t xml:space="preserve"> be using the Uu int</w:t>
      </w:r>
      <w:r w:rsidR="00481D44">
        <w:rPr>
          <w:sz w:val="22"/>
          <w:lang w:eastAsia="ja-JP"/>
        </w:rPr>
        <w:t>erface (as the name suggested)</w:t>
      </w:r>
      <w:r w:rsidR="00471F9B">
        <w:rPr>
          <w:sz w:val="22"/>
          <w:lang w:eastAsia="ja-JP"/>
        </w:rPr>
        <w:t xml:space="preserve"> for fast and flexible deployment</w:t>
      </w:r>
      <w:r w:rsidR="00481D44">
        <w:rPr>
          <w:sz w:val="22"/>
          <w:lang w:eastAsia="ja-JP"/>
        </w:rPr>
        <w:t>.</w:t>
      </w:r>
    </w:p>
    <w:p w:rsidR="00E30644" w:rsidRPr="00E30644" w:rsidRDefault="00E30644" w:rsidP="00E30644">
      <w:pPr>
        <w:jc w:val="both"/>
        <w:rPr>
          <w:bCs/>
          <w:sz w:val="20"/>
          <w:lang w:val="en-AU"/>
        </w:rPr>
      </w:pPr>
      <w:r w:rsidRPr="00463248">
        <w:rPr>
          <w:b/>
          <w:bCs/>
          <w:i/>
          <w:sz w:val="22"/>
          <w:szCs w:val="22"/>
          <w:lang w:val="en-AU"/>
        </w:rPr>
        <w:t>Observation</w:t>
      </w:r>
      <w:r>
        <w:rPr>
          <w:b/>
          <w:bCs/>
          <w:i/>
          <w:sz w:val="22"/>
          <w:szCs w:val="22"/>
          <w:lang w:val="en-AU"/>
        </w:rPr>
        <w:t xml:space="preserve"> 3</w:t>
      </w:r>
      <w:r w:rsidRPr="00463248">
        <w:rPr>
          <w:b/>
          <w:bCs/>
          <w:i/>
          <w:sz w:val="22"/>
          <w:szCs w:val="22"/>
          <w:lang w:val="en-AU"/>
        </w:rPr>
        <w:t>:</w:t>
      </w:r>
    </w:p>
    <w:p w:rsidR="00C1301A" w:rsidRPr="00E30644" w:rsidRDefault="00C1301A" w:rsidP="00E30644">
      <w:pPr>
        <w:pStyle w:val="ListParagraph"/>
        <w:numPr>
          <w:ilvl w:val="0"/>
          <w:numId w:val="12"/>
        </w:numPr>
        <w:jc w:val="both"/>
        <w:rPr>
          <w:rFonts w:ascii="Times New Roman" w:hAnsi="Times New Roman"/>
          <w:b/>
          <w:bCs/>
          <w:i/>
        </w:rPr>
      </w:pPr>
      <w:r w:rsidRPr="00E30644">
        <w:rPr>
          <w:rFonts w:ascii="Times New Roman" w:hAnsi="Times New Roman"/>
          <w:b/>
          <w:i/>
          <w:lang w:eastAsia="ja-JP"/>
        </w:rPr>
        <w:t xml:space="preserve">It should be </w:t>
      </w:r>
      <w:r w:rsidR="00792642">
        <w:rPr>
          <w:rFonts w:ascii="Times New Roman" w:hAnsi="Times New Roman"/>
          <w:b/>
          <w:i/>
          <w:lang w:eastAsia="ja-JP"/>
        </w:rPr>
        <w:t>allowed</w:t>
      </w:r>
      <w:r w:rsidR="00481D44">
        <w:rPr>
          <w:rFonts w:ascii="Times New Roman" w:hAnsi="Times New Roman"/>
          <w:b/>
          <w:i/>
          <w:lang w:eastAsia="ja-JP"/>
        </w:rPr>
        <w:t xml:space="preserve"> for a RSU to connect to </w:t>
      </w:r>
      <w:r w:rsidR="00792642">
        <w:rPr>
          <w:rFonts w:ascii="Times New Roman" w:hAnsi="Times New Roman"/>
          <w:b/>
          <w:i/>
          <w:lang w:eastAsia="ja-JP"/>
        </w:rPr>
        <w:t>the</w:t>
      </w:r>
      <w:r w:rsidRPr="00E30644">
        <w:rPr>
          <w:rFonts w:ascii="Times New Roman" w:hAnsi="Times New Roman"/>
          <w:b/>
          <w:i/>
          <w:lang w:eastAsia="ja-JP"/>
        </w:rPr>
        <w:t xml:space="preserve"> local eNB</w:t>
      </w:r>
      <w:r w:rsidR="00792642">
        <w:rPr>
          <w:rFonts w:ascii="Times New Roman" w:hAnsi="Times New Roman"/>
          <w:b/>
          <w:i/>
          <w:lang w:eastAsia="ja-JP"/>
        </w:rPr>
        <w:t>/NW</w:t>
      </w:r>
      <w:r w:rsidRPr="00E30644">
        <w:rPr>
          <w:rFonts w:ascii="Times New Roman" w:hAnsi="Times New Roman"/>
          <w:b/>
          <w:i/>
          <w:lang w:eastAsia="ja-JP"/>
        </w:rPr>
        <w:t xml:space="preserve"> (subsequently to the ITS server) via fixed wired or even microwave link interfaces. </w:t>
      </w:r>
      <w:r w:rsidR="00792642">
        <w:rPr>
          <w:rFonts w:ascii="Times New Roman" w:hAnsi="Times New Roman"/>
          <w:b/>
          <w:i/>
          <w:lang w:eastAsia="ja-JP"/>
        </w:rPr>
        <w:t>Potential</w:t>
      </w:r>
      <w:r w:rsidRPr="00E30644">
        <w:rPr>
          <w:rFonts w:ascii="Times New Roman" w:hAnsi="Times New Roman"/>
          <w:b/>
          <w:i/>
          <w:lang w:eastAsia="ja-JP"/>
        </w:rPr>
        <w:t xml:space="preserve"> benefits in using this type of interface for fast and dedicated communication link</w:t>
      </w:r>
      <w:r w:rsidR="00792642">
        <w:rPr>
          <w:rFonts w:ascii="Times New Roman" w:hAnsi="Times New Roman"/>
          <w:b/>
          <w:i/>
          <w:lang w:eastAsia="ja-JP"/>
        </w:rPr>
        <w:t xml:space="preserve"> include low communication latency and high reliability</w:t>
      </w:r>
      <w:r w:rsidRPr="00E30644">
        <w:rPr>
          <w:rFonts w:ascii="Times New Roman" w:hAnsi="Times New Roman"/>
          <w:b/>
          <w:i/>
          <w:lang w:eastAsia="ja-JP"/>
        </w:rPr>
        <w:t>.</w:t>
      </w:r>
    </w:p>
    <w:p w:rsidR="00C1301A" w:rsidRPr="00E30644" w:rsidRDefault="00C1301A" w:rsidP="00E30644">
      <w:pPr>
        <w:pStyle w:val="ListParagraph"/>
        <w:numPr>
          <w:ilvl w:val="0"/>
          <w:numId w:val="12"/>
        </w:numPr>
        <w:spacing w:after="240"/>
        <w:jc w:val="both"/>
        <w:rPr>
          <w:rFonts w:ascii="Times New Roman" w:hAnsi="Times New Roman"/>
          <w:b/>
          <w:bCs/>
          <w:i/>
        </w:rPr>
      </w:pPr>
      <w:r w:rsidRPr="00E30644">
        <w:rPr>
          <w:rFonts w:ascii="Times New Roman" w:hAnsi="Times New Roman"/>
          <w:b/>
          <w:i/>
          <w:lang w:eastAsia="ja-JP"/>
        </w:rPr>
        <w:lastRenderedPageBreak/>
        <w:t>It should also allow for a RSU to connect to a local eNB</w:t>
      </w:r>
      <w:r w:rsidR="00792642">
        <w:rPr>
          <w:rFonts w:ascii="Times New Roman" w:hAnsi="Times New Roman"/>
          <w:b/>
          <w:i/>
          <w:lang w:eastAsia="ja-JP"/>
        </w:rPr>
        <w:t>/NW</w:t>
      </w:r>
      <w:r w:rsidRPr="00E30644">
        <w:rPr>
          <w:rFonts w:ascii="Times New Roman" w:hAnsi="Times New Roman"/>
          <w:b/>
          <w:i/>
          <w:lang w:eastAsia="ja-JP"/>
        </w:rPr>
        <w:t xml:space="preserve"> via the Uu interface for </w:t>
      </w:r>
      <w:r w:rsidR="00481D44">
        <w:rPr>
          <w:rFonts w:ascii="Times New Roman" w:hAnsi="Times New Roman"/>
          <w:b/>
          <w:i/>
          <w:lang w:eastAsia="ja-JP"/>
        </w:rPr>
        <w:t>fast and flexible deployment, as</w:t>
      </w:r>
      <w:r w:rsidRPr="00E30644">
        <w:rPr>
          <w:rFonts w:ascii="Times New Roman" w:hAnsi="Times New Roman"/>
          <w:b/>
          <w:i/>
          <w:lang w:eastAsia="ja-JP"/>
        </w:rPr>
        <w:t xml:space="preserve"> </w:t>
      </w:r>
      <w:r w:rsidR="00481D44">
        <w:rPr>
          <w:rFonts w:ascii="Times New Roman" w:hAnsi="Times New Roman"/>
          <w:b/>
          <w:i/>
          <w:lang w:eastAsia="ja-JP"/>
        </w:rPr>
        <w:t>s</w:t>
      </w:r>
      <w:r w:rsidRPr="00E30644">
        <w:rPr>
          <w:rFonts w:ascii="Times New Roman" w:hAnsi="Times New Roman"/>
          <w:b/>
          <w:i/>
          <w:lang w:eastAsia="ja-JP"/>
        </w:rPr>
        <w:t>ome RSUs are temporarily deployed to send warning messages about “road work/hazard ahead”.</w:t>
      </w:r>
    </w:p>
    <w:p w:rsidR="008773C7" w:rsidRPr="00463248" w:rsidRDefault="008773C7" w:rsidP="00224D30">
      <w:pPr>
        <w:pStyle w:val="Heading1"/>
        <w:spacing w:after="120"/>
        <w:jc w:val="both"/>
        <w:rPr>
          <w:sz w:val="24"/>
          <w:szCs w:val="22"/>
          <w:lang w:val="en-AU" w:eastAsia="en-AU"/>
        </w:rPr>
      </w:pPr>
      <w:r w:rsidRPr="00463248">
        <w:rPr>
          <w:sz w:val="24"/>
          <w:szCs w:val="22"/>
          <w:lang w:val="en-AU" w:eastAsia="en-AU"/>
        </w:rPr>
        <w:t>Conclusion</w:t>
      </w:r>
    </w:p>
    <w:p w:rsidR="00A12CB2" w:rsidRPr="00322653" w:rsidRDefault="00A12CB2" w:rsidP="001B6344">
      <w:pPr>
        <w:spacing w:after="60"/>
        <w:jc w:val="both"/>
        <w:rPr>
          <w:bCs/>
          <w:sz w:val="22"/>
          <w:szCs w:val="22"/>
          <w:lang w:val="en-AU" w:eastAsia="en-AU"/>
        </w:rPr>
      </w:pPr>
      <w:r w:rsidRPr="00322653">
        <w:rPr>
          <w:bCs/>
          <w:sz w:val="22"/>
          <w:szCs w:val="22"/>
          <w:lang w:val="en-AU" w:eastAsia="en-AU"/>
        </w:rPr>
        <w:t xml:space="preserve">In this contribution, we </w:t>
      </w:r>
      <w:r w:rsidR="00322653" w:rsidRPr="00322653">
        <w:rPr>
          <w:bCs/>
          <w:sz w:val="22"/>
          <w:szCs w:val="22"/>
          <w:lang w:val="en-AU" w:eastAsia="en-AU"/>
        </w:rPr>
        <w:t xml:space="preserve">presented three main deployment scenarios for LTE-based V2X </w:t>
      </w:r>
      <w:r w:rsidR="001B6344">
        <w:rPr>
          <w:bCs/>
          <w:sz w:val="22"/>
          <w:szCs w:val="22"/>
          <w:lang w:val="en-AU" w:eastAsia="en-AU"/>
        </w:rPr>
        <w:t xml:space="preserve">services </w:t>
      </w:r>
      <w:r w:rsidR="00322653" w:rsidRPr="00322653">
        <w:rPr>
          <w:bCs/>
          <w:sz w:val="22"/>
          <w:szCs w:val="22"/>
          <w:lang w:val="en-AU" w:eastAsia="en-AU"/>
        </w:rPr>
        <w:t>that should be focus</w:t>
      </w:r>
      <w:r w:rsidR="00C63A94">
        <w:rPr>
          <w:bCs/>
          <w:sz w:val="22"/>
          <w:szCs w:val="22"/>
          <w:lang w:val="en-AU" w:eastAsia="en-AU"/>
        </w:rPr>
        <w:t>ed</w:t>
      </w:r>
      <w:r w:rsidR="00322653" w:rsidRPr="00322653">
        <w:rPr>
          <w:bCs/>
          <w:sz w:val="22"/>
          <w:szCs w:val="22"/>
          <w:lang w:val="en-AU" w:eastAsia="en-AU"/>
        </w:rPr>
        <w:t xml:space="preserve"> on </w:t>
      </w:r>
      <w:r w:rsidR="001B6344">
        <w:rPr>
          <w:bCs/>
          <w:sz w:val="22"/>
          <w:szCs w:val="22"/>
          <w:lang w:val="en-AU" w:eastAsia="en-AU"/>
        </w:rPr>
        <w:t>during</w:t>
      </w:r>
      <w:r w:rsidR="00322653" w:rsidRPr="00322653">
        <w:rPr>
          <w:bCs/>
          <w:sz w:val="22"/>
          <w:szCs w:val="22"/>
          <w:lang w:val="en-AU" w:eastAsia="en-AU"/>
        </w:rPr>
        <w:t xml:space="preserve"> this study item, namely:</w:t>
      </w:r>
    </w:p>
    <w:p w:rsidR="00322653" w:rsidRPr="001B6344" w:rsidRDefault="00322653" w:rsidP="001B6344">
      <w:pPr>
        <w:spacing w:after="60"/>
        <w:ind w:left="567"/>
        <w:jc w:val="both"/>
        <w:rPr>
          <w:sz w:val="22"/>
          <w:lang w:val="en-AU"/>
        </w:rPr>
      </w:pPr>
      <w:r w:rsidRPr="00322653">
        <w:rPr>
          <w:bCs/>
          <w:sz w:val="22"/>
          <w:szCs w:val="22"/>
          <w:lang w:val="en-AU" w:eastAsia="en-AU"/>
        </w:rPr>
        <w:t xml:space="preserve">Deployment Scenario 1: </w:t>
      </w:r>
      <w:r w:rsidRPr="001B6344">
        <w:rPr>
          <w:sz w:val="22"/>
          <w:lang w:val="en-AU"/>
        </w:rPr>
        <w:t>Dedicated spectrum for LTE-based V2X</w:t>
      </w:r>
    </w:p>
    <w:p w:rsidR="00322653" w:rsidRPr="001B6344" w:rsidRDefault="00322653" w:rsidP="001B6344">
      <w:pPr>
        <w:spacing w:after="60"/>
        <w:ind w:left="567"/>
        <w:jc w:val="both"/>
        <w:rPr>
          <w:sz w:val="22"/>
          <w:lang w:val="en-AU"/>
        </w:rPr>
      </w:pPr>
      <w:r w:rsidRPr="001B6344">
        <w:rPr>
          <w:bCs/>
          <w:sz w:val="22"/>
          <w:szCs w:val="22"/>
          <w:lang w:val="en-AU" w:eastAsia="en-AU"/>
        </w:rPr>
        <w:t xml:space="preserve">Deployment Scenario 2: </w:t>
      </w:r>
      <w:r w:rsidRPr="001B6344">
        <w:rPr>
          <w:sz w:val="22"/>
          <w:lang w:val="en-AU"/>
        </w:rPr>
        <w:t>Operator shared spectrum for V2X not shared with normal LTE</w:t>
      </w:r>
    </w:p>
    <w:p w:rsidR="00322653" w:rsidRPr="001B6344" w:rsidRDefault="00322653" w:rsidP="001B6344">
      <w:pPr>
        <w:spacing w:after="60"/>
        <w:ind w:left="567"/>
        <w:jc w:val="both"/>
        <w:rPr>
          <w:bCs/>
          <w:sz w:val="22"/>
          <w:szCs w:val="22"/>
          <w:lang w:val="en-AU" w:eastAsia="en-AU"/>
        </w:rPr>
      </w:pPr>
      <w:r w:rsidRPr="001B6344">
        <w:rPr>
          <w:bCs/>
          <w:sz w:val="22"/>
          <w:szCs w:val="22"/>
          <w:lang w:val="en-AU" w:eastAsia="en-AU"/>
        </w:rPr>
        <w:t xml:space="preserve">Deployment Scenario 3: </w:t>
      </w:r>
      <w:r w:rsidRPr="001B6344">
        <w:rPr>
          <w:sz w:val="22"/>
          <w:lang w:val="en-AU"/>
        </w:rPr>
        <w:t>Operator specific spectrum for V2X with normal LTE operation</w:t>
      </w:r>
      <w:r w:rsidR="00C63A94">
        <w:rPr>
          <w:sz w:val="22"/>
          <w:lang w:val="en-AU"/>
        </w:rPr>
        <w:t>.</w:t>
      </w:r>
    </w:p>
    <w:p w:rsidR="00A12CB2" w:rsidRPr="00322653" w:rsidRDefault="00C63A94" w:rsidP="00322653">
      <w:pPr>
        <w:spacing w:after="120"/>
        <w:jc w:val="both"/>
        <w:rPr>
          <w:sz w:val="22"/>
          <w:szCs w:val="22"/>
          <w:lang w:val="en-AU" w:eastAsia="en-AU"/>
        </w:rPr>
      </w:pPr>
      <w:r>
        <w:rPr>
          <w:sz w:val="22"/>
          <w:szCs w:val="22"/>
          <w:lang w:val="en-AU" w:eastAsia="en-AU"/>
        </w:rPr>
        <w:t>W</w:t>
      </w:r>
      <w:r w:rsidR="00322653" w:rsidRPr="00322653">
        <w:rPr>
          <w:sz w:val="22"/>
          <w:szCs w:val="22"/>
          <w:lang w:val="en-AU" w:eastAsia="en-AU"/>
        </w:rPr>
        <w:t>e discussed their main operations in Section 2.1</w:t>
      </w:r>
      <w:r>
        <w:rPr>
          <w:sz w:val="22"/>
          <w:szCs w:val="22"/>
          <w:lang w:val="en-AU" w:eastAsia="en-AU"/>
        </w:rPr>
        <w:t xml:space="preserve"> and following is proposed.</w:t>
      </w:r>
    </w:p>
    <w:p w:rsidR="00322653" w:rsidRDefault="00322653" w:rsidP="00A12CB2">
      <w:pPr>
        <w:jc w:val="both"/>
        <w:rPr>
          <w:b/>
          <w:i/>
          <w:sz w:val="22"/>
          <w:lang w:val="en-AU"/>
        </w:rPr>
      </w:pPr>
      <w:r w:rsidRPr="00463248">
        <w:rPr>
          <w:b/>
          <w:i/>
          <w:sz w:val="22"/>
          <w:lang w:val="en-AU"/>
        </w:rPr>
        <w:t xml:space="preserve">Proposal 1: It is proposed the above identified 3 deployment scenarios for V2X </w:t>
      </w:r>
      <w:r w:rsidR="001B6344">
        <w:rPr>
          <w:b/>
          <w:i/>
          <w:sz w:val="22"/>
          <w:lang w:val="en-AU"/>
        </w:rPr>
        <w:t xml:space="preserve">and their descriptions </w:t>
      </w:r>
      <w:r w:rsidRPr="00463248">
        <w:rPr>
          <w:b/>
          <w:i/>
          <w:sz w:val="22"/>
          <w:lang w:val="en-AU"/>
        </w:rPr>
        <w:t>are to be captured in a SI technical report.</w:t>
      </w:r>
    </w:p>
    <w:p w:rsidR="00322653" w:rsidRDefault="00322653" w:rsidP="00A12CB2">
      <w:pPr>
        <w:jc w:val="both"/>
        <w:rPr>
          <w:sz w:val="22"/>
          <w:lang w:val="en-AU"/>
        </w:rPr>
      </w:pPr>
    </w:p>
    <w:p w:rsidR="00322653" w:rsidRDefault="00322653" w:rsidP="001B6344">
      <w:pPr>
        <w:spacing w:after="120"/>
        <w:jc w:val="both"/>
        <w:rPr>
          <w:sz w:val="22"/>
          <w:lang w:val="en-AU"/>
        </w:rPr>
      </w:pPr>
      <w:r>
        <w:rPr>
          <w:sz w:val="22"/>
          <w:lang w:val="en-AU"/>
        </w:rPr>
        <w:t xml:space="preserve">In this contribution, we also provided </w:t>
      </w:r>
      <w:r w:rsidR="001B6344">
        <w:rPr>
          <w:sz w:val="22"/>
          <w:lang w:val="en-AU"/>
        </w:rPr>
        <w:t>some initial considerations on several aspects like frequency bands, power control, synchronisation and interface between RSU and local eNB/NW. In summary, we draw the following proposal and observations:</w:t>
      </w:r>
    </w:p>
    <w:p w:rsidR="001B6344" w:rsidRDefault="001B6344" w:rsidP="001B6344">
      <w:pPr>
        <w:spacing w:after="120"/>
        <w:jc w:val="both"/>
        <w:rPr>
          <w:b/>
          <w:bCs/>
          <w:i/>
          <w:sz w:val="22"/>
          <w:szCs w:val="22"/>
          <w:lang w:val="en-AU" w:eastAsia="en-AU"/>
        </w:rPr>
      </w:pPr>
      <w:r w:rsidRPr="00463248">
        <w:rPr>
          <w:b/>
          <w:bCs/>
          <w:i/>
          <w:sz w:val="22"/>
          <w:szCs w:val="22"/>
          <w:lang w:val="en-AU" w:eastAsia="en-AU"/>
        </w:rPr>
        <w:t>Proposal 2: For the dedicated V2X spectrum scenario, it is proposed to focus on at least the high frequency band 5.9GHz case.</w:t>
      </w:r>
    </w:p>
    <w:p w:rsidR="001B6344" w:rsidRDefault="001B6344" w:rsidP="001B6344">
      <w:pPr>
        <w:spacing w:after="120"/>
        <w:jc w:val="both"/>
        <w:rPr>
          <w:b/>
          <w:bCs/>
          <w:i/>
          <w:sz w:val="22"/>
          <w:szCs w:val="22"/>
          <w:lang w:val="en-AU"/>
        </w:rPr>
      </w:pPr>
      <w:r w:rsidRPr="00463248">
        <w:rPr>
          <w:b/>
          <w:bCs/>
          <w:i/>
          <w:sz w:val="22"/>
          <w:szCs w:val="22"/>
          <w:lang w:val="en-AU"/>
        </w:rPr>
        <w:t>Observation 1: In realistic deployment, local/serving eNB</w:t>
      </w:r>
      <w:r w:rsidR="00C63A94">
        <w:rPr>
          <w:b/>
          <w:bCs/>
          <w:i/>
          <w:sz w:val="22"/>
          <w:szCs w:val="22"/>
          <w:lang w:val="en-AU"/>
        </w:rPr>
        <w:t>,</w:t>
      </w:r>
      <w:r w:rsidR="0044125C">
        <w:rPr>
          <w:b/>
          <w:bCs/>
          <w:i/>
          <w:sz w:val="22"/>
          <w:szCs w:val="22"/>
          <w:lang w:val="en-AU"/>
        </w:rPr>
        <w:t xml:space="preserve"> </w:t>
      </w:r>
      <w:r w:rsidRPr="00463248">
        <w:rPr>
          <w:b/>
          <w:bCs/>
          <w:i/>
          <w:sz w:val="22"/>
          <w:szCs w:val="22"/>
          <w:lang w:val="en-AU"/>
        </w:rPr>
        <w:t>most of the time</w:t>
      </w:r>
      <w:r w:rsidR="00C63A94">
        <w:rPr>
          <w:b/>
          <w:bCs/>
          <w:i/>
          <w:sz w:val="22"/>
          <w:szCs w:val="22"/>
          <w:lang w:val="en-AU"/>
        </w:rPr>
        <w:t>,</w:t>
      </w:r>
      <w:r w:rsidRPr="00463248">
        <w:rPr>
          <w:b/>
          <w:bCs/>
          <w:i/>
          <w:sz w:val="22"/>
          <w:szCs w:val="22"/>
          <w:lang w:val="en-AU"/>
        </w:rPr>
        <w:t xml:space="preserve"> will not be able to hear V2X message transmissions in a cell to perform sidelink power control. It seems the best way</w:t>
      </w:r>
      <w:r w:rsidR="00C63A94">
        <w:rPr>
          <w:b/>
          <w:bCs/>
          <w:i/>
          <w:sz w:val="22"/>
          <w:szCs w:val="22"/>
          <w:lang w:val="en-AU"/>
        </w:rPr>
        <w:t>,</w:t>
      </w:r>
      <w:r w:rsidRPr="00463248">
        <w:rPr>
          <w:b/>
          <w:bCs/>
          <w:i/>
          <w:sz w:val="22"/>
          <w:szCs w:val="22"/>
          <w:lang w:val="en-AU"/>
        </w:rPr>
        <w:t xml:space="preserve"> at least for the purpose of evaluation</w:t>
      </w:r>
      <w:r w:rsidR="00C63A94">
        <w:rPr>
          <w:b/>
          <w:bCs/>
          <w:i/>
          <w:sz w:val="22"/>
          <w:szCs w:val="22"/>
          <w:lang w:val="en-AU"/>
        </w:rPr>
        <w:t>, is</w:t>
      </w:r>
      <w:r w:rsidRPr="00463248">
        <w:rPr>
          <w:b/>
          <w:bCs/>
          <w:i/>
          <w:sz w:val="22"/>
          <w:szCs w:val="22"/>
          <w:lang w:val="en-AU"/>
        </w:rPr>
        <w:t xml:space="preserve"> that sidelink V2X transmission power is determined by the travelling</w:t>
      </w:r>
      <w:r w:rsidR="00C63A94">
        <w:rPr>
          <w:b/>
          <w:bCs/>
          <w:i/>
          <w:sz w:val="22"/>
          <w:szCs w:val="22"/>
          <w:lang w:val="en-AU"/>
        </w:rPr>
        <w:t xml:space="preserve"> speed</w:t>
      </w:r>
      <w:r w:rsidRPr="00463248">
        <w:rPr>
          <w:b/>
          <w:bCs/>
          <w:i/>
          <w:sz w:val="22"/>
          <w:szCs w:val="22"/>
          <w:lang w:val="en-AU"/>
        </w:rPr>
        <w:t xml:space="preserve"> or the detected travelling speed.</w:t>
      </w:r>
    </w:p>
    <w:p w:rsidR="001B6344" w:rsidRDefault="001B6344" w:rsidP="001B6344">
      <w:pPr>
        <w:spacing w:after="120"/>
        <w:jc w:val="both"/>
        <w:rPr>
          <w:b/>
          <w:bCs/>
          <w:i/>
          <w:sz w:val="22"/>
          <w:szCs w:val="22"/>
          <w:lang w:val="en-AU"/>
        </w:rPr>
      </w:pPr>
      <w:r w:rsidRPr="00463248">
        <w:rPr>
          <w:b/>
          <w:bCs/>
          <w:i/>
          <w:sz w:val="22"/>
          <w:szCs w:val="22"/>
          <w:lang w:val="en-AU"/>
        </w:rPr>
        <w:t>Observation</w:t>
      </w:r>
      <w:r>
        <w:rPr>
          <w:b/>
          <w:bCs/>
          <w:i/>
          <w:sz w:val="22"/>
          <w:szCs w:val="22"/>
          <w:lang w:val="en-AU"/>
        </w:rPr>
        <w:t xml:space="preserve"> 2</w:t>
      </w:r>
      <w:r w:rsidRPr="00463248">
        <w:rPr>
          <w:b/>
          <w:bCs/>
          <w:i/>
          <w:sz w:val="22"/>
          <w:szCs w:val="22"/>
          <w:lang w:val="en-AU"/>
        </w:rPr>
        <w:t xml:space="preserve">: </w:t>
      </w:r>
      <w:r>
        <w:rPr>
          <w:b/>
          <w:bCs/>
          <w:i/>
          <w:sz w:val="22"/>
          <w:szCs w:val="22"/>
          <w:lang w:val="en-AU"/>
        </w:rPr>
        <w:t>It seems positioning signals like GPS could potentially be used as communication timing reference between V2X UEs and nodes to replace the existing mechanism of using PSSS/SSSS and PSBCH.</w:t>
      </w:r>
    </w:p>
    <w:p w:rsidR="001B6344" w:rsidRPr="00E30644" w:rsidRDefault="001B6344" w:rsidP="001B6344">
      <w:pPr>
        <w:jc w:val="both"/>
        <w:rPr>
          <w:bCs/>
          <w:sz w:val="20"/>
          <w:lang w:val="en-AU"/>
        </w:rPr>
      </w:pPr>
      <w:r w:rsidRPr="00463248">
        <w:rPr>
          <w:b/>
          <w:bCs/>
          <w:i/>
          <w:sz w:val="22"/>
          <w:szCs w:val="22"/>
          <w:lang w:val="en-AU"/>
        </w:rPr>
        <w:t>Observation</w:t>
      </w:r>
      <w:r>
        <w:rPr>
          <w:b/>
          <w:bCs/>
          <w:i/>
          <w:sz w:val="22"/>
          <w:szCs w:val="22"/>
          <w:lang w:val="en-AU"/>
        </w:rPr>
        <w:t xml:space="preserve"> 3</w:t>
      </w:r>
      <w:r w:rsidRPr="00463248">
        <w:rPr>
          <w:b/>
          <w:bCs/>
          <w:i/>
          <w:sz w:val="22"/>
          <w:szCs w:val="22"/>
          <w:lang w:val="en-AU"/>
        </w:rPr>
        <w:t>:</w:t>
      </w:r>
    </w:p>
    <w:p w:rsidR="001B6344" w:rsidRPr="001B6344" w:rsidRDefault="001B6344" w:rsidP="001B6344">
      <w:pPr>
        <w:pStyle w:val="ListParagraph"/>
        <w:numPr>
          <w:ilvl w:val="0"/>
          <w:numId w:val="12"/>
        </w:numPr>
        <w:jc w:val="both"/>
        <w:rPr>
          <w:rFonts w:ascii="Times New Roman" w:hAnsi="Times New Roman"/>
          <w:b/>
          <w:bCs/>
          <w:i/>
        </w:rPr>
      </w:pPr>
      <w:r w:rsidRPr="00E30644">
        <w:rPr>
          <w:rFonts w:ascii="Times New Roman" w:hAnsi="Times New Roman"/>
          <w:b/>
          <w:i/>
          <w:lang w:eastAsia="ja-JP"/>
        </w:rPr>
        <w:t xml:space="preserve">It should be </w:t>
      </w:r>
      <w:r>
        <w:rPr>
          <w:rFonts w:ascii="Times New Roman" w:hAnsi="Times New Roman"/>
          <w:b/>
          <w:i/>
          <w:lang w:eastAsia="ja-JP"/>
        </w:rPr>
        <w:t>allowed for a RSU to connect to the</w:t>
      </w:r>
      <w:r w:rsidRPr="00E30644">
        <w:rPr>
          <w:rFonts w:ascii="Times New Roman" w:hAnsi="Times New Roman"/>
          <w:b/>
          <w:i/>
          <w:lang w:eastAsia="ja-JP"/>
        </w:rPr>
        <w:t xml:space="preserve"> local eNB</w:t>
      </w:r>
      <w:r>
        <w:rPr>
          <w:rFonts w:ascii="Times New Roman" w:hAnsi="Times New Roman"/>
          <w:b/>
          <w:i/>
          <w:lang w:eastAsia="ja-JP"/>
        </w:rPr>
        <w:t>/NW</w:t>
      </w:r>
      <w:r w:rsidRPr="00E30644">
        <w:rPr>
          <w:rFonts w:ascii="Times New Roman" w:hAnsi="Times New Roman"/>
          <w:b/>
          <w:i/>
          <w:lang w:eastAsia="ja-JP"/>
        </w:rPr>
        <w:t xml:space="preserve"> (subsequently to the ITS server) via fixed wired or even microwave link interfaces. </w:t>
      </w:r>
      <w:r>
        <w:rPr>
          <w:rFonts w:ascii="Times New Roman" w:hAnsi="Times New Roman"/>
          <w:b/>
          <w:i/>
          <w:lang w:eastAsia="ja-JP"/>
        </w:rPr>
        <w:t>Potential</w:t>
      </w:r>
      <w:r w:rsidRPr="00E30644">
        <w:rPr>
          <w:rFonts w:ascii="Times New Roman" w:hAnsi="Times New Roman"/>
          <w:b/>
          <w:i/>
          <w:lang w:eastAsia="ja-JP"/>
        </w:rPr>
        <w:t xml:space="preserve"> benefits in using this type of interface for fast and dedicated communication link</w:t>
      </w:r>
      <w:r>
        <w:rPr>
          <w:rFonts w:ascii="Times New Roman" w:hAnsi="Times New Roman"/>
          <w:b/>
          <w:i/>
          <w:lang w:eastAsia="ja-JP"/>
        </w:rPr>
        <w:t xml:space="preserve"> include low communication latency and high reliability</w:t>
      </w:r>
      <w:r w:rsidRPr="00E30644">
        <w:rPr>
          <w:rFonts w:ascii="Times New Roman" w:hAnsi="Times New Roman"/>
          <w:b/>
          <w:i/>
          <w:lang w:eastAsia="ja-JP"/>
        </w:rPr>
        <w:t>.</w:t>
      </w:r>
    </w:p>
    <w:p w:rsidR="001B6344" w:rsidRPr="001B6344" w:rsidRDefault="001B6344" w:rsidP="001B6344">
      <w:pPr>
        <w:pStyle w:val="ListParagraph"/>
        <w:numPr>
          <w:ilvl w:val="0"/>
          <w:numId w:val="12"/>
        </w:numPr>
        <w:jc w:val="both"/>
        <w:rPr>
          <w:rFonts w:ascii="Times New Roman" w:hAnsi="Times New Roman"/>
          <w:b/>
          <w:bCs/>
          <w:i/>
        </w:rPr>
      </w:pPr>
      <w:r w:rsidRPr="001B6344">
        <w:rPr>
          <w:rFonts w:ascii="Times New Roman" w:hAnsi="Times New Roman"/>
          <w:b/>
          <w:i/>
          <w:lang w:eastAsia="ja-JP"/>
        </w:rPr>
        <w:t>It should also allow for a RSU to connect to a local eNB/NW via the Uu interface for fast and flexible deployment, as some RSUs are temporarily deployed to send warning messages about “road work/hazard ahead”.</w:t>
      </w:r>
    </w:p>
    <w:p w:rsidR="008773C7" w:rsidRPr="00463248" w:rsidRDefault="008773C7" w:rsidP="00224D30">
      <w:pPr>
        <w:pStyle w:val="Heading1"/>
        <w:numPr>
          <w:ilvl w:val="0"/>
          <w:numId w:val="0"/>
        </w:numPr>
        <w:spacing w:after="120"/>
        <w:ind w:left="425" w:hanging="425"/>
        <w:jc w:val="both"/>
        <w:rPr>
          <w:sz w:val="24"/>
          <w:szCs w:val="22"/>
          <w:lang w:val="en-AU" w:eastAsia="en-AU"/>
        </w:rPr>
      </w:pPr>
      <w:r w:rsidRPr="00463248">
        <w:rPr>
          <w:sz w:val="24"/>
          <w:szCs w:val="22"/>
          <w:lang w:val="en-AU" w:eastAsia="en-AU"/>
        </w:rPr>
        <w:t>References</w:t>
      </w:r>
    </w:p>
    <w:p w:rsidR="009C1EF4" w:rsidRPr="00463248" w:rsidRDefault="009C1EF4" w:rsidP="009C1EF4">
      <w:pPr>
        <w:spacing w:after="60"/>
        <w:ind w:left="284" w:hanging="284"/>
        <w:rPr>
          <w:sz w:val="22"/>
          <w:szCs w:val="22"/>
          <w:lang w:val="en-AU"/>
        </w:rPr>
      </w:pPr>
      <w:r w:rsidRPr="00463248">
        <w:rPr>
          <w:sz w:val="22"/>
          <w:szCs w:val="22"/>
          <w:lang w:val="en-AU"/>
        </w:rPr>
        <w:t xml:space="preserve">[1] </w:t>
      </w:r>
      <w:r w:rsidRPr="00322653">
        <w:rPr>
          <w:sz w:val="22"/>
          <w:szCs w:val="22"/>
          <w:lang w:val="en-AU"/>
        </w:rPr>
        <w:t>RP-151109</w:t>
      </w:r>
      <w:r w:rsidRPr="00463248">
        <w:rPr>
          <w:sz w:val="22"/>
          <w:szCs w:val="22"/>
          <w:lang w:val="en-AU"/>
        </w:rPr>
        <w:t xml:space="preserve"> “New SI proposal: Feasibility Study on LTE-based V2X Services”, LGE, CATT, Vodafone, Huawei, RAN#68, Jun. 2015.</w:t>
      </w:r>
    </w:p>
    <w:p w:rsidR="000A56E0" w:rsidRPr="00463248" w:rsidRDefault="009C1EF4" w:rsidP="009C1EF4">
      <w:pPr>
        <w:spacing w:after="60"/>
        <w:ind w:left="284" w:hanging="284"/>
        <w:rPr>
          <w:sz w:val="22"/>
          <w:szCs w:val="22"/>
          <w:lang w:val="en-AU"/>
        </w:rPr>
      </w:pPr>
      <w:r w:rsidRPr="00463248">
        <w:rPr>
          <w:sz w:val="22"/>
          <w:szCs w:val="22"/>
          <w:lang w:val="en-AU"/>
        </w:rPr>
        <w:t xml:space="preserve">[2] TR22.885 “Study on LTE Support for V2X Services”, </w:t>
      </w:r>
      <w:r w:rsidRPr="00322653">
        <w:rPr>
          <w:sz w:val="22"/>
          <w:szCs w:val="22"/>
          <w:lang w:val="en-AU"/>
        </w:rPr>
        <w:t>S1-151330</w:t>
      </w:r>
      <w:r w:rsidRPr="00463248">
        <w:rPr>
          <w:sz w:val="22"/>
          <w:szCs w:val="22"/>
          <w:lang w:val="en-AU"/>
        </w:rPr>
        <w:t>, Apr. 2015.</w:t>
      </w:r>
    </w:p>
    <w:p w:rsidR="003E18C5" w:rsidRPr="00463248" w:rsidRDefault="003E18C5" w:rsidP="009C1EF4">
      <w:pPr>
        <w:spacing w:after="60"/>
        <w:ind w:left="284" w:hanging="284"/>
        <w:rPr>
          <w:sz w:val="22"/>
          <w:szCs w:val="22"/>
          <w:lang w:val="en-AU"/>
        </w:rPr>
      </w:pPr>
      <w:r w:rsidRPr="00463248">
        <w:rPr>
          <w:sz w:val="22"/>
          <w:szCs w:val="22"/>
          <w:lang w:val="en-AU"/>
        </w:rPr>
        <w:t xml:space="preserve">[3] </w:t>
      </w:r>
      <w:r w:rsidR="00763D92" w:rsidRPr="00463248">
        <w:rPr>
          <w:sz w:val="22"/>
          <w:szCs w:val="22"/>
          <w:lang w:val="en-AU"/>
        </w:rPr>
        <w:t>G. Karagiannis, O. Altinatas, E. Ekici, G. Heijenk, B. Jarupan, K. Lin, T. Weil, “</w:t>
      </w:r>
      <w:r w:rsidR="00763D92" w:rsidRPr="00463248">
        <w:rPr>
          <w:rFonts w:eastAsiaTheme="minorHAnsi"/>
          <w:sz w:val="22"/>
          <w:szCs w:val="22"/>
          <w:lang w:val="en-AU" w:eastAsia="en-US"/>
        </w:rPr>
        <w:t>Vehicular networking: A survey and tutorial on requirements, architectures, challenges, standards and solutions</w:t>
      </w:r>
      <w:r w:rsidR="00763D92" w:rsidRPr="00463248">
        <w:rPr>
          <w:sz w:val="22"/>
          <w:szCs w:val="22"/>
          <w:lang w:val="en-AU"/>
        </w:rPr>
        <w:t xml:space="preserve">”, </w:t>
      </w:r>
      <w:r w:rsidR="00763D92" w:rsidRPr="00463248">
        <w:rPr>
          <w:rFonts w:eastAsiaTheme="minorHAnsi"/>
          <w:sz w:val="22"/>
          <w:szCs w:val="22"/>
          <w:lang w:val="en-AU" w:eastAsia="en-US"/>
        </w:rPr>
        <w:t>IEEE Communication Survey &amp; Tutorials, vol. 13, issue 4, pp. 584-616 2011.</w:t>
      </w:r>
    </w:p>
    <w:sectPr w:rsidR="003E18C5" w:rsidRPr="0046324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6BEE" w:rsidRDefault="00DA6BEE" w:rsidP="005B0E40">
      <w:r>
        <w:separator/>
      </w:r>
    </w:p>
  </w:endnote>
  <w:endnote w:type="continuationSeparator" w:id="0">
    <w:p w:rsidR="00DA6BEE" w:rsidRDefault="00DA6BEE" w:rsidP="005B0E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6BEE" w:rsidRDefault="00DA6BEE" w:rsidP="005B0E40">
      <w:r>
        <w:separator/>
      </w:r>
    </w:p>
  </w:footnote>
  <w:footnote w:type="continuationSeparator" w:id="0">
    <w:p w:rsidR="00DA6BEE" w:rsidRDefault="00DA6BEE" w:rsidP="005B0E4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2046F7"/>
    <w:multiLevelType w:val="hybridMultilevel"/>
    <w:tmpl w:val="86F298CA"/>
    <w:lvl w:ilvl="0" w:tplc="4A74980C">
      <w:numFmt w:val="bullet"/>
      <w:lvlText w:val=""/>
      <w:lvlJc w:val="left"/>
      <w:pPr>
        <w:ind w:left="720" w:hanging="360"/>
      </w:pPr>
      <w:rPr>
        <w:rFonts w:ascii="Symbol" w:eastAsiaTheme="minorHAnsi" w:hAnsi="Symbol"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6D95AAD"/>
    <w:multiLevelType w:val="hybridMultilevel"/>
    <w:tmpl w:val="E946A23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nsid w:val="0E755E5A"/>
    <w:multiLevelType w:val="hybridMultilevel"/>
    <w:tmpl w:val="D0142508"/>
    <w:lvl w:ilvl="0" w:tplc="CB56619A">
      <w:start w:val="1"/>
      <w:numFmt w:val="bullet"/>
      <w:lvlText w:val=""/>
      <w:lvlJc w:val="left"/>
      <w:pPr>
        <w:tabs>
          <w:tab w:val="num" w:pos="720"/>
        </w:tabs>
        <w:ind w:left="720" w:hanging="360"/>
      </w:pPr>
      <w:rPr>
        <w:rFonts w:ascii="Wingdings" w:hAnsi="Wingdings" w:hint="default"/>
      </w:rPr>
    </w:lvl>
    <w:lvl w:ilvl="1" w:tplc="E8767C58">
      <w:start w:val="1"/>
      <w:numFmt w:val="bullet"/>
      <w:lvlText w:val=""/>
      <w:lvlJc w:val="left"/>
      <w:pPr>
        <w:tabs>
          <w:tab w:val="num" w:pos="1440"/>
        </w:tabs>
        <w:ind w:left="1440" w:hanging="360"/>
      </w:pPr>
      <w:rPr>
        <w:rFonts w:ascii="Wingdings" w:hAnsi="Wingdings" w:hint="default"/>
      </w:rPr>
    </w:lvl>
    <w:lvl w:ilvl="2" w:tplc="C9A660DA">
      <w:start w:val="1"/>
      <w:numFmt w:val="bullet"/>
      <w:lvlText w:val=""/>
      <w:lvlJc w:val="left"/>
      <w:pPr>
        <w:tabs>
          <w:tab w:val="num" w:pos="2160"/>
        </w:tabs>
        <w:ind w:left="2160" w:hanging="360"/>
      </w:pPr>
      <w:rPr>
        <w:rFonts w:ascii="Wingdings" w:hAnsi="Wingdings" w:hint="default"/>
      </w:rPr>
    </w:lvl>
    <w:lvl w:ilvl="3" w:tplc="0409000B">
      <w:start w:val="1"/>
      <w:numFmt w:val="bullet"/>
      <w:lvlText w:val=""/>
      <w:lvlJc w:val="left"/>
      <w:pPr>
        <w:ind w:left="2880" w:hanging="360"/>
      </w:pPr>
      <w:rPr>
        <w:rFonts w:ascii="Wingdings" w:hAnsi="Wingdings" w:hint="default"/>
      </w:rPr>
    </w:lvl>
    <w:lvl w:ilvl="4" w:tplc="D4B25B38">
      <w:start w:val="1"/>
      <w:numFmt w:val="bullet"/>
      <w:lvlText w:val=""/>
      <w:lvlJc w:val="left"/>
      <w:pPr>
        <w:tabs>
          <w:tab w:val="num" w:pos="3600"/>
        </w:tabs>
        <w:ind w:left="3600" w:hanging="360"/>
      </w:pPr>
      <w:rPr>
        <w:rFonts w:ascii="Wingdings" w:hAnsi="Wingdings" w:hint="default"/>
      </w:rPr>
    </w:lvl>
    <w:lvl w:ilvl="5" w:tplc="01E03232">
      <w:numFmt w:val="bullet"/>
      <w:lvlText w:val="-"/>
      <w:lvlJc w:val="left"/>
      <w:pPr>
        <w:ind w:left="4320" w:hanging="360"/>
      </w:pPr>
      <w:rPr>
        <w:rFonts w:ascii="Arial" w:eastAsia="SimSun" w:hAnsi="Arial" w:cs="Arial" w:hint="default"/>
      </w:rPr>
    </w:lvl>
    <w:lvl w:ilvl="6" w:tplc="B7DE3438">
      <w:start w:val="1"/>
      <w:numFmt w:val="bullet"/>
      <w:lvlText w:val=""/>
      <w:lvlJc w:val="left"/>
      <w:pPr>
        <w:tabs>
          <w:tab w:val="num" w:pos="5040"/>
        </w:tabs>
        <w:ind w:left="5040" w:hanging="360"/>
      </w:pPr>
      <w:rPr>
        <w:rFonts w:ascii="Wingdings" w:hAnsi="Wingdings" w:hint="default"/>
      </w:rPr>
    </w:lvl>
    <w:lvl w:ilvl="7" w:tplc="AF26F464">
      <w:start w:val="1"/>
      <w:numFmt w:val="bullet"/>
      <w:lvlText w:val=""/>
      <w:lvlJc w:val="left"/>
      <w:pPr>
        <w:tabs>
          <w:tab w:val="num" w:pos="5760"/>
        </w:tabs>
        <w:ind w:left="5760" w:hanging="360"/>
      </w:pPr>
      <w:rPr>
        <w:rFonts w:ascii="Wingdings" w:hAnsi="Wingdings" w:hint="default"/>
      </w:rPr>
    </w:lvl>
    <w:lvl w:ilvl="8" w:tplc="384076AE">
      <w:start w:val="1"/>
      <w:numFmt w:val="bullet"/>
      <w:lvlText w:val=""/>
      <w:lvlJc w:val="left"/>
      <w:pPr>
        <w:tabs>
          <w:tab w:val="num" w:pos="6480"/>
        </w:tabs>
        <w:ind w:left="6480" w:hanging="360"/>
      </w:pPr>
      <w:rPr>
        <w:rFonts w:ascii="Wingdings" w:hAnsi="Wingdings" w:hint="default"/>
      </w:rPr>
    </w:lvl>
  </w:abstractNum>
  <w:abstractNum w:abstractNumId="3">
    <w:nsid w:val="1F3F7600"/>
    <w:multiLevelType w:val="multilevel"/>
    <w:tmpl w:val="AA483BEE"/>
    <w:lvl w:ilvl="0">
      <w:start w:val="1"/>
      <w:numFmt w:val="decimal"/>
      <w:pStyle w:val="Heading1"/>
      <w:lvlText w:val="%1."/>
      <w:lvlJc w:val="left"/>
      <w:pPr>
        <w:tabs>
          <w:tab w:val="num" w:pos="425"/>
        </w:tabs>
        <w:ind w:left="425" w:hanging="425"/>
      </w:pPr>
      <w:rPr>
        <w:rFonts w:hint="eastAsia"/>
        <w:i w:val="0"/>
      </w:rPr>
    </w:lvl>
    <w:lvl w:ilvl="1">
      <w:start w:val="1"/>
      <w:numFmt w:val="decimal"/>
      <w:pStyle w:val="Heading2"/>
      <w:lvlText w:val="%1.%2."/>
      <w:lvlJc w:val="left"/>
      <w:pPr>
        <w:tabs>
          <w:tab w:val="num" w:pos="2694"/>
        </w:tabs>
        <w:ind w:left="2694"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3%1.%2..%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
    <w:nsid w:val="2A5539AC"/>
    <w:multiLevelType w:val="hybridMultilevel"/>
    <w:tmpl w:val="AC9C8BD4"/>
    <w:lvl w:ilvl="0" w:tplc="8A404404">
      <w:numFmt w:val="bullet"/>
      <w:lvlText w:val=""/>
      <w:lvlJc w:val="left"/>
      <w:pPr>
        <w:ind w:left="720" w:hanging="360"/>
      </w:pPr>
      <w:rPr>
        <w:rFonts w:ascii="Symbol" w:eastAsia="SimSu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324659DC"/>
    <w:multiLevelType w:val="hybridMultilevel"/>
    <w:tmpl w:val="5C94248A"/>
    <w:lvl w:ilvl="0" w:tplc="482C4C60">
      <w:numFmt w:val="bullet"/>
      <w:lvlText w:val=""/>
      <w:lvlJc w:val="left"/>
      <w:pPr>
        <w:ind w:left="720" w:hanging="360"/>
      </w:pPr>
      <w:rPr>
        <w:rFonts w:ascii="Symbol" w:eastAsia="Times New Roman" w:hAnsi="Symbol" w:cs="Aria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6">
    <w:nsid w:val="33AC168A"/>
    <w:multiLevelType w:val="hybridMultilevel"/>
    <w:tmpl w:val="4DF8BA1A"/>
    <w:lvl w:ilvl="0" w:tplc="96E2C4B0">
      <w:numFmt w:val="bullet"/>
      <w:lvlText w:val=""/>
      <w:lvlJc w:val="left"/>
      <w:pPr>
        <w:ind w:left="720" w:hanging="360"/>
      </w:pPr>
      <w:rPr>
        <w:rFonts w:ascii="Symbol" w:eastAsia="SimSun" w:hAnsi="Symbol" w:cs="Times New Roman"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466C6F6F"/>
    <w:multiLevelType w:val="hybridMultilevel"/>
    <w:tmpl w:val="6AD4BDE6"/>
    <w:lvl w:ilvl="0" w:tplc="61464570">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nsid w:val="4D422D55"/>
    <w:multiLevelType w:val="hybridMultilevel"/>
    <w:tmpl w:val="AB72E9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4D4503D5"/>
    <w:multiLevelType w:val="hybridMultilevel"/>
    <w:tmpl w:val="04964D74"/>
    <w:lvl w:ilvl="0" w:tplc="1C78833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nsid w:val="54AA4EE8"/>
    <w:multiLevelType w:val="hybridMultilevel"/>
    <w:tmpl w:val="A640739E"/>
    <w:lvl w:ilvl="0" w:tplc="C7C2FEC0">
      <w:numFmt w:val="bullet"/>
      <w:lvlText w:val=""/>
      <w:lvlJc w:val="left"/>
      <w:pPr>
        <w:ind w:left="720" w:hanging="360"/>
      </w:pPr>
      <w:rPr>
        <w:rFonts w:ascii="Symbol" w:eastAsia="SimSun" w:hAnsi="Symbol" w:cs="Times New Roman"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5953152D"/>
    <w:multiLevelType w:val="hybridMultilevel"/>
    <w:tmpl w:val="C866993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nsid w:val="5E675EE3"/>
    <w:multiLevelType w:val="hybridMultilevel"/>
    <w:tmpl w:val="ECC61BEA"/>
    <w:lvl w:ilvl="0" w:tplc="0C09000F">
      <w:start w:val="1"/>
      <w:numFmt w:val="decimal"/>
      <w:lvlText w:val="%1."/>
      <w:lvlJc w:val="left"/>
      <w:pPr>
        <w:ind w:left="720" w:hanging="360"/>
      </w:pPr>
    </w:lvl>
    <w:lvl w:ilvl="1" w:tplc="0C090001">
      <w:start w:val="1"/>
      <w:numFmt w:val="bullet"/>
      <w:lvlText w:val=""/>
      <w:lvlJc w:val="left"/>
      <w:pPr>
        <w:ind w:left="1440" w:hanging="360"/>
      </w:pPr>
      <w:rPr>
        <w:rFonts w:ascii="Symbol" w:hAnsi="Symbol" w:hint="default"/>
      </w:r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num w:numId="1">
    <w:abstractNumId w:val="3"/>
  </w:num>
  <w:num w:numId="2">
    <w:abstractNumId w:val="5"/>
  </w:num>
  <w:num w:numId="3">
    <w:abstractNumId w:val="4"/>
  </w:num>
  <w:num w:numId="4">
    <w:abstractNumId w:val="6"/>
  </w:num>
  <w:num w:numId="5">
    <w:abstractNumId w:val="11"/>
  </w:num>
  <w:num w:numId="6">
    <w:abstractNumId w:val="9"/>
  </w:num>
  <w:num w:numId="7">
    <w:abstractNumId w:val="2"/>
  </w:num>
  <w:num w:numId="8">
    <w:abstractNumId w:val="1"/>
  </w:num>
  <w:num w:numId="9">
    <w:abstractNumId w:val="8"/>
  </w:num>
  <w:num w:numId="10">
    <w:abstractNumId w:val="7"/>
  </w:num>
  <w:num w:numId="11">
    <w:abstractNumId w:val="10"/>
  </w:num>
  <w:num w:numId="12">
    <w:abstractNumId w:val="0"/>
  </w:num>
  <w:num w:numId="13">
    <w:abstractNumId w:val="1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4A5D"/>
    <w:rsid w:val="00002134"/>
    <w:rsid w:val="00003910"/>
    <w:rsid w:val="00004700"/>
    <w:rsid w:val="00012837"/>
    <w:rsid w:val="00013934"/>
    <w:rsid w:val="000146C6"/>
    <w:rsid w:val="00021BF8"/>
    <w:rsid w:val="00025D2D"/>
    <w:rsid w:val="00027C66"/>
    <w:rsid w:val="00040C03"/>
    <w:rsid w:val="00044F2D"/>
    <w:rsid w:val="000461F9"/>
    <w:rsid w:val="00061910"/>
    <w:rsid w:val="00065A14"/>
    <w:rsid w:val="00067FFA"/>
    <w:rsid w:val="0007655A"/>
    <w:rsid w:val="00092888"/>
    <w:rsid w:val="000A26F3"/>
    <w:rsid w:val="000A56E0"/>
    <w:rsid w:val="000B500C"/>
    <w:rsid w:val="000D21E3"/>
    <w:rsid w:val="000D523F"/>
    <w:rsid w:val="00112396"/>
    <w:rsid w:val="001144C2"/>
    <w:rsid w:val="0011778C"/>
    <w:rsid w:val="00117FA2"/>
    <w:rsid w:val="00172B86"/>
    <w:rsid w:val="001779AC"/>
    <w:rsid w:val="00190125"/>
    <w:rsid w:val="001A71F6"/>
    <w:rsid w:val="001B4F7F"/>
    <w:rsid w:val="001B6344"/>
    <w:rsid w:val="001B7F63"/>
    <w:rsid w:val="001D2895"/>
    <w:rsid w:val="001D390C"/>
    <w:rsid w:val="001E0797"/>
    <w:rsid w:val="001E2D36"/>
    <w:rsid w:val="001E6D83"/>
    <w:rsid w:val="00211EDD"/>
    <w:rsid w:val="00224D30"/>
    <w:rsid w:val="00255203"/>
    <w:rsid w:val="00261A77"/>
    <w:rsid w:val="00271823"/>
    <w:rsid w:val="002725C2"/>
    <w:rsid w:val="00272E23"/>
    <w:rsid w:val="002749F4"/>
    <w:rsid w:val="00275FF4"/>
    <w:rsid w:val="002A6B0E"/>
    <w:rsid w:val="002B42E9"/>
    <w:rsid w:val="002C24E0"/>
    <w:rsid w:val="002C3E3C"/>
    <w:rsid w:val="002C7FB2"/>
    <w:rsid w:val="002F23D0"/>
    <w:rsid w:val="0030496F"/>
    <w:rsid w:val="00306047"/>
    <w:rsid w:val="00313A7B"/>
    <w:rsid w:val="003209B2"/>
    <w:rsid w:val="00322653"/>
    <w:rsid w:val="00325F3D"/>
    <w:rsid w:val="00335778"/>
    <w:rsid w:val="00342E0B"/>
    <w:rsid w:val="00345FC7"/>
    <w:rsid w:val="0036396E"/>
    <w:rsid w:val="003A31F3"/>
    <w:rsid w:val="003B4D0D"/>
    <w:rsid w:val="003C12D8"/>
    <w:rsid w:val="003C18BB"/>
    <w:rsid w:val="003C3D84"/>
    <w:rsid w:val="003D688F"/>
    <w:rsid w:val="003D76E5"/>
    <w:rsid w:val="003E18C5"/>
    <w:rsid w:val="0041481A"/>
    <w:rsid w:val="00416D72"/>
    <w:rsid w:val="004239D5"/>
    <w:rsid w:val="0042455B"/>
    <w:rsid w:val="0043173C"/>
    <w:rsid w:val="00434B87"/>
    <w:rsid w:val="0043771C"/>
    <w:rsid w:val="0044125C"/>
    <w:rsid w:val="00441B8D"/>
    <w:rsid w:val="00456762"/>
    <w:rsid w:val="00463248"/>
    <w:rsid w:val="004676B4"/>
    <w:rsid w:val="00471F9B"/>
    <w:rsid w:val="00481D44"/>
    <w:rsid w:val="00482C94"/>
    <w:rsid w:val="004847F4"/>
    <w:rsid w:val="004C0438"/>
    <w:rsid w:val="004C7C5E"/>
    <w:rsid w:val="004D66EF"/>
    <w:rsid w:val="004D7935"/>
    <w:rsid w:val="004E40B3"/>
    <w:rsid w:val="004E79F9"/>
    <w:rsid w:val="00500B03"/>
    <w:rsid w:val="00500F99"/>
    <w:rsid w:val="0050537C"/>
    <w:rsid w:val="00515512"/>
    <w:rsid w:val="00515E48"/>
    <w:rsid w:val="0052371F"/>
    <w:rsid w:val="00536CEE"/>
    <w:rsid w:val="00536CF8"/>
    <w:rsid w:val="00554CDC"/>
    <w:rsid w:val="00586A65"/>
    <w:rsid w:val="005B0E40"/>
    <w:rsid w:val="005B19CA"/>
    <w:rsid w:val="005C0CBF"/>
    <w:rsid w:val="005C62C8"/>
    <w:rsid w:val="005C6A84"/>
    <w:rsid w:val="005D30E8"/>
    <w:rsid w:val="005E533A"/>
    <w:rsid w:val="00603196"/>
    <w:rsid w:val="006064E8"/>
    <w:rsid w:val="00616F40"/>
    <w:rsid w:val="006555F8"/>
    <w:rsid w:val="00683E54"/>
    <w:rsid w:val="006A08B3"/>
    <w:rsid w:val="006A0CC1"/>
    <w:rsid w:val="006C0959"/>
    <w:rsid w:val="006C3F60"/>
    <w:rsid w:val="006D2673"/>
    <w:rsid w:val="006E4E77"/>
    <w:rsid w:val="007073ED"/>
    <w:rsid w:val="00711EA9"/>
    <w:rsid w:val="00714810"/>
    <w:rsid w:val="00735EF4"/>
    <w:rsid w:val="00751540"/>
    <w:rsid w:val="00752E3E"/>
    <w:rsid w:val="0075517B"/>
    <w:rsid w:val="007625CC"/>
    <w:rsid w:val="00763D92"/>
    <w:rsid w:val="00775C1B"/>
    <w:rsid w:val="00792642"/>
    <w:rsid w:val="00792751"/>
    <w:rsid w:val="00792FBD"/>
    <w:rsid w:val="00796F31"/>
    <w:rsid w:val="007A4101"/>
    <w:rsid w:val="007C2A57"/>
    <w:rsid w:val="007C4048"/>
    <w:rsid w:val="007C556A"/>
    <w:rsid w:val="007D38A5"/>
    <w:rsid w:val="007D43FD"/>
    <w:rsid w:val="007D6811"/>
    <w:rsid w:val="007E6374"/>
    <w:rsid w:val="007F1C84"/>
    <w:rsid w:val="007F35D8"/>
    <w:rsid w:val="00832759"/>
    <w:rsid w:val="00846F72"/>
    <w:rsid w:val="00852051"/>
    <w:rsid w:val="00855457"/>
    <w:rsid w:val="0085730A"/>
    <w:rsid w:val="00860A77"/>
    <w:rsid w:val="008668B5"/>
    <w:rsid w:val="00870CDB"/>
    <w:rsid w:val="00871E0C"/>
    <w:rsid w:val="008773C7"/>
    <w:rsid w:val="0089108A"/>
    <w:rsid w:val="00893A5E"/>
    <w:rsid w:val="008A377E"/>
    <w:rsid w:val="008C02DF"/>
    <w:rsid w:val="008C04BE"/>
    <w:rsid w:val="008E080A"/>
    <w:rsid w:val="008E1231"/>
    <w:rsid w:val="008E25AA"/>
    <w:rsid w:val="008F1817"/>
    <w:rsid w:val="008F5E88"/>
    <w:rsid w:val="008F7F3A"/>
    <w:rsid w:val="00907F18"/>
    <w:rsid w:val="00924F39"/>
    <w:rsid w:val="00943C23"/>
    <w:rsid w:val="00945D4A"/>
    <w:rsid w:val="00952304"/>
    <w:rsid w:val="00966605"/>
    <w:rsid w:val="00973D68"/>
    <w:rsid w:val="00983375"/>
    <w:rsid w:val="00990634"/>
    <w:rsid w:val="00990759"/>
    <w:rsid w:val="00990B58"/>
    <w:rsid w:val="00991DED"/>
    <w:rsid w:val="00995754"/>
    <w:rsid w:val="00996758"/>
    <w:rsid w:val="009A3102"/>
    <w:rsid w:val="009A3B93"/>
    <w:rsid w:val="009C1EF4"/>
    <w:rsid w:val="009D6DAC"/>
    <w:rsid w:val="009D73DC"/>
    <w:rsid w:val="009F1152"/>
    <w:rsid w:val="00A023CF"/>
    <w:rsid w:val="00A07B99"/>
    <w:rsid w:val="00A12CB2"/>
    <w:rsid w:val="00A309AF"/>
    <w:rsid w:val="00A47E22"/>
    <w:rsid w:val="00A50D9A"/>
    <w:rsid w:val="00A5284B"/>
    <w:rsid w:val="00A65A32"/>
    <w:rsid w:val="00A6605E"/>
    <w:rsid w:val="00A6662D"/>
    <w:rsid w:val="00A66F7B"/>
    <w:rsid w:val="00AA4A5D"/>
    <w:rsid w:val="00AC09A9"/>
    <w:rsid w:val="00AE5D0D"/>
    <w:rsid w:val="00AF72E6"/>
    <w:rsid w:val="00B00695"/>
    <w:rsid w:val="00B01426"/>
    <w:rsid w:val="00B4013C"/>
    <w:rsid w:val="00B45EB7"/>
    <w:rsid w:val="00B53FE6"/>
    <w:rsid w:val="00B825D2"/>
    <w:rsid w:val="00B87E2D"/>
    <w:rsid w:val="00B95EFC"/>
    <w:rsid w:val="00BA26C6"/>
    <w:rsid w:val="00BD1593"/>
    <w:rsid w:val="00BE49E5"/>
    <w:rsid w:val="00BF317D"/>
    <w:rsid w:val="00C010BC"/>
    <w:rsid w:val="00C1301A"/>
    <w:rsid w:val="00C1551B"/>
    <w:rsid w:val="00C27286"/>
    <w:rsid w:val="00C33971"/>
    <w:rsid w:val="00C4377D"/>
    <w:rsid w:val="00C479EA"/>
    <w:rsid w:val="00C63A94"/>
    <w:rsid w:val="00C6526D"/>
    <w:rsid w:val="00C6542A"/>
    <w:rsid w:val="00C75EBD"/>
    <w:rsid w:val="00C76CBC"/>
    <w:rsid w:val="00C85685"/>
    <w:rsid w:val="00C87651"/>
    <w:rsid w:val="00C95DCE"/>
    <w:rsid w:val="00CA7345"/>
    <w:rsid w:val="00CC13AC"/>
    <w:rsid w:val="00CC1A37"/>
    <w:rsid w:val="00CC4A6F"/>
    <w:rsid w:val="00CD7928"/>
    <w:rsid w:val="00CE20D3"/>
    <w:rsid w:val="00CF2F4F"/>
    <w:rsid w:val="00CF62ED"/>
    <w:rsid w:val="00D02624"/>
    <w:rsid w:val="00D04A02"/>
    <w:rsid w:val="00D14640"/>
    <w:rsid w:val="00D44CB6"/>
    <w:rsid w:val="00D660AF"/>
    <w:rsid w:val="00D763F4"/>
    <w:rsid w:val="00D8109C"/>
    <w:rsid w:val="00D86DD0"/>
    <w:rsid w:val="00D915E2"/>
    <w:rsid w:val="00D91834"/>
    <w:rsid w:val="00DA5B73"/>
    <w:rsid w:val="00DA6BEE"/>
    <w:rsid w:val="00DB6F53"/>
    <w:rsid w:val="00DD3705"/>
    <w:rsid w:val="00DD6864"/>
    <w:rsid w:val="00DE1ADC"/>
    <w:rsid w:val="00DE22B0"/>
    <w:rsid w:val="00E07162"/>
    <w:rsid w:val="00E10256"/>
    <w:rsid w:val="00E10946"/>
    <w:rsid w:val="00E10ADC"/>
    <w:rsid w:val="00E30644"/>
    <w:rsid w:val="00E3157D"/>
    <w:rsid w:val="00E3169E"/>
    <w:rsid w:val="00E56643"/>
    <w:rsid w:val="00E734DC"/>
    <w:rsid w:val="00E76D41"/>
    <w:rsid w:val="00E92B44"/>
    <w:rsid w:val="00EA72A3"/>
    <w:rsid w:val="00EB5204"/>
    <w:rsid w:val="00ED6873"/>
    <w:rsid w:val="00F10E80"/>
    <w:rsid w:val="00F35439"/>
    <w:rsid w:val="00F406CF"/>
    <w:rsid w:val="00F4782F"/>
    <w:rsid w:val="00F61D39"/>
    <w:rsid w:val="00F65477"/>
    <w:rsid w:val="00F704D7"/>
    <w:rsid w:val="00F757BB"/>
    <w:rsid w:val="00F83165"/>
    <w:rsid w:val="00FB2C89"/>
    <w:rsid w:val="00FE6396"/>
    <w:rsid w:val="00FF15F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4A5D"/>
    <w:pPr>
      <w:spacing w:after="0" w:line="240" w:lineRule="auto"/>
    </w:pPr>
    <w:rPr>
      <w:rFonts w:ascii="Times New Roman" w:eastAsia="SimSun" w:hAnsi="Times New Roman" w:cs="Times New Roman"/>
      <w:sz w:val="24"/>
      <w:szCs w:val="24"/>
      <w:lang w:val="en-US" w:eastAsia="zh-CN"/>
    </w:rPr>
  </w:style>
  <w:style w:type="paragraph" w:styleId="Heading1">
    <w:name w:val="heading 1"/>
    <w:basedOn w:val="Normal"/>
    <w:next w:val="Normal"/>
    <w:link w:val="Heading1Char"/>
    <w:qFormat/>
    <w:rsid w:val="00AA4A5D"/>
    <w:pPr>
      <w:keepNext/>
      <w:numPr>
        <w:numId w:val="1"/>
      </w:numPr>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AA4A5D"/>
    <w:pPr>
      <w:keepNext/>
      <w:numPr>
        <w:ilvl w:val="1"/>
        <w:numId w:val="1"/>
      </w:numPr>
      <w:outlineLvl w:val="1"/>
    </w:pPr>
    <w:rPr>
      <w:rFonts w:ascii="Arial" w:eastAsia="MS Gothic"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A4A5D"/>
    <w:rPr>
      <w:rFonts w:ascii="Arial" w:eastAsia="SimSun" w:hAnsi="Arial" w:cs="Arial"/>
      <w:b/>
      <w:bCs/>
      <w:kern w:val="32"/>
      <w:sz w:val="32"/>
      <w:szCs w:val="32"/>
      <w:lang w:val="en-US" w:eastAsia="zh-CN"/>
    </w:rPr>
  </w:style>
  <w:style w:type="character" w:customStyle="1" w:styleId="Heading2Char">
    <w:name w:val="Heading 2 Char"/>
    <w:basedOn w:val="DefaultParagraphFont"/>
    <w:link w:val="Heading2"/>
    <w:rsid w:val="00AA4A5D"/>
    <w:rPr>
      <w:rFonts w:ascii="Arial" w:eastAsia="MS Gothic" w:hAnsi="Arial" w:cs="Times New Roman"/>
      <w:sz w:val="24"/>
      <w:szCs w:val="24"/>
      <w:lang w:val="en-US"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A4A5D"/>
    <w:pPr>
      <w:tabs>
        <w:tab w:val="center" w:pos="4320"/>
        <w:tab w:val="right" w:pos="864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A4A5D"/>
    <w:rPr>
      <w:rFonts w:ascii="Times New Roman" w:eastAsia="SimSun" w:hAnsi="Times New Roman" w:cs="Times New Roman"/>
      <w:sz w:val="24"/>
      <w:szCs w:val="24"/>
      <w:lang w:val="en-US" w:eastAsia="zh-CN"/>
    </w:rPr>
  </w:style>
  <w:style w:type="paragraph" w:styleId="ListParagraph">
    <w:name w:val="List Paragraph"/>
    <w:basedOn w:val="Normal"/>
    <w:uiPriority w:val="34"/>
    <w:qFormat/>
    <w:rsid w:val="00F83165"/>
    <w:pPr>
      <w:ind w:left="720"/>
    </w:pPr>
    <w:rPr>
      <w:rFonts w:ascii="Calibri" w:eastAsiaTheme="minorHAnsi" w:hAnsi="Calibri"/>
      <w:sz w:val="22"/>
      <w:szCs w:val="22"/>
      <w:lang w:val="en-AU" w:eastAsia="en-AU"/>
    </w:rPr>
  </w:style>
  <w:style w:type="paragraph" w:styleId="BalloonText">
    <w:name w:val="Balloon Text"/>
    <w:basedOn w:val="Normal"/>
    <w:link w:val="BalloonTextChar"/>
    <w:uiPriority w:val="99"/>
    <w:semiHidden/>
    <w:unhideWhenUsed/>
    <w:rsid w:val="00D91834"/>
    <w:rPr>
      <w:rFonts w:ascii="Tahoma" w:hAnsi="Tahoma" w:cs="Tahoma"/>
      <w:sz w:val="16"/>
      <w:szCs w:val="16"/>
    </w:rPr>
  </w:style>
  <w:style w:type="character" w:customStyle="1" w:styleId="BalloonTextChar">
    <w:name w:val="Balloon Text Char"/>
    <w:basedOn w:val="DefaultParagraphFont"/>
    <w:link w:val="BalloonText"/>
    <w:uiPriority w:val="99"/>
    <w:semiHidden/>
    <w:rsid w:val="00D91834"/>
    <w:rPr>
      <w:rFonts w:ascii="Tahoma" w:eastAsia="SimSun" w:hAnsi="Tahoma" w:cs="Tahoma"/>
      <w:sz w:val="16"/>
      <w:szCs w:val="16"/>
      <w:lang w:val="en-US" w:eastAsia="zh-CN"/>
    </w:rPr>
  </w:style>
  <w:style w:type="paragraph" w:styleId="Caption">
    <w:name w:val="caption"/>
    <w:basedOn w:val="Normal"/>
    <w:next w:val="Normal"/>
    <w:uiPriority w:val="35"/>
    <w:unhideWhenUsed/>
    <w:qFormat/>
    <w:rsid w:val="00D91834"/>
    <w:pPr>
      <w:spacing w:after="200"/>
    </w:pPr>
    <w:rPr>
      <w:b/>
      <w:bCs/>
      <w:color w:val="4F81BD" w:themeColor="accent1"/>
      <w:sz w:val="18"/>
      <w:szCs w:val="18"/>
    </w:rPr>
  </w:style>
  <w:style w:type="character" w:styleId="Hyperlink">
    <w:name w:val="Hyperlink"/>
    <w:basedOn w:val="DefaultParagraphFont"/>
    <w:uiPriority w:val="99"/>
    <w:unhideWhenUsed/>
    <w:rsid w:val="00C479EA"/>
    <w:rPr>
      <w:color w:val="0000FF" w:themeColor="hyperlink"/>
      <w:u w:val="single"/>
    </w:rPr>
  </w:style>
  <w:style w:type="paragraph" w:styleId="Footer">
    <w:name w:val="footer"/>
    <w:basedOn w:val="Normal"/>
    <w:link w:val="FooterChar"/>
    <w:uiPriority w:val="99"/>
    <w:unhideWhenUsed/>
    <w:rsid w:val="005B0E40"/>
    <w:pPr>
      <w:tabs>
        <w:tab w:val="center" w:pos="4513"/>
        <w:tab w:val="right" w:pos="9026"/>
      </w:tabs>
    </w:pPr>
  </w:style>
  <w:style w:type="character" w:customStyle="1" w:styleId="FooterChar">
    <w:name w:val="Footer Char"/>
    <w:basedOn w:val="DefaultParagraphFont"/>
    <w:link w:val="Footer"/>
    <w:uiPriority w:val="99"/>
    <w:rsid w:val="005B0E40"/>
    <w:rPr>
      <w:rFonts w:ascii="Times New Roman" w:eastAsia="SimSun" w:hAnsi="Times New Roman" w:cs="Times New Roman"/>
      <w:sz w:val="24"/>
      <w:szCs w:val="24"/>
      <w:lang w:val="en-US" w:eastAsia="zh-CN"/>
    </w:rPr>
  </w:style>
  <w:style w:type="table" w:styleId="TableGrid">
    <w:name w:val="Table Grid"/>
    <w:basedOn w:val="TableNormal"/>
    <w:uiPriority w:val="59"/>
    <w:rsid w:val="00C652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4A5D"/>
    <w:pPr>
      <w:spacing w:after="0" w:line="240" w:lineRule="auto"/>
    </w:pPr>
    <w:rPr>
      <w:rFonts w:ascii="Times New Roman" w:eastAsia="SimSun" w:hAnsi="Times New Roman" w:cs="Times New Roman"/>
      <w:sz w:val="24"/>
      <w:szCs w:val="24"/>
      <w:lang w:val="en-US" w:eastAsia="zh-CN"/>
    </w:rPr>
  </w:style>
  <w:style w:type="paragraph" w:styleId="Heading1">
    <w:name w:val="heading 1"/>
    <w:basedOn w:val="Normal"/>
    <w:next w:val="Normal"/>
    <w:link w:val="Heading1Char"/>
    <w:qFormat/>
    <w:rsid w:val="00AA4A5D"/>
    <w:pPr>
      <w:keepNext/>
      <w:numPr>
        <w:numId w:val="1"/>
      </w:numPr>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AA4A5D"/>
    <w:pPr>
      <w:keepNext/>
      <w:numPr>
        <w:ilvl w:val="1"/>
        <w:numId w:val="1"/>
      </w:numPr>
      <w:outlineLvl w:val="1"/>
    </w:pPr>
    <w:rPr>
      <w:rFonts w:ascii="Arial" w:eastAsia="MS Gothic"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A4A5D"/>
    <w:rPr>
      <w:rFonts w:ascii="Arial" w:eastAsia="SimSun" w:hAnsi="Arial" w:cs="Arial"/>
      <w:b/>
      <w:bCs/>
      <w:kern w:val="32"/>
      <w:sz w:val="32"/>
      <w:szCs w:val="32"/>
      <w:lang w:val="en-US" w:eastAsia="zh-CN"/>
    </w:rPr>
  </w:style>
  <w:style w:type="character" w:customStyle="1" w:styleId="Heading2Char">
    <w:name w:val="Heading 2 Char"/>
    <w:basedOn w:val="DefaultParagraphFont"/>
    <w:link w:val="Heading2"/>
    <w:rsid w:val="00AA4A5D"/>
    <w:rPr>
      <w:rFonts w:ascii="Arial" w:eastAsia="MS Gothic" w:hAnsi="Arial" w:cs="Times New Roman"/>
      <w:sz w:val="24"/>
      <w:szCs w:val="24"/>
      <w:lang w:val="en-US"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A4A5D"/>
    <w:pPr>
      <w:tabs>
        <w:tab w:val="center" w:pos="4320"/>
        <w:tab w:val="right" w:pos="864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A4A5D"/>
    <w:rPr>
      <w:rFonts w:ascii="Times New Roman" w:eastAsia="SimSun" w:hAnsi="Times New Roman" w:cs="Times New Roman"/>
      <w:sz w:val="24"/>
      <w:szCs w:val="24"/>
      <w:lang w:val="en-US" w:eastAsia="zh-CN"/>
    </w:rPr>
  </w:style>
  <w:style w:type="paragraph" w:styleId="ListParagraph">
    <w:name w:val="List Paragraph"/>
    <w:basedOn w:val="Normal"/>
    <w:uiPriority w:val="34"/>
    <w:qFormat/>
    <w:rsid w:val="00F83165"/>
    <w:pPr>
      <w:ind w:left="720"/>
    </w:pPr>
    <w:rPr>
      <w:rFonts w:ascii="Calibri" w:eastAsiaTheme="minorHAnsi" w:hAnsi="Calibri"/>
      <w:sz w:val="22"/>
      <w:szCs w:val="22"/>
      <w:lang w:val="en-AU" w:eastAsia="en-AU"/>
    </w:rPr>
  </w:style>
  <w:style w:type="paragraph" w:styleId="BalloonText">
    <w:name w:val="Balloon Text"/>
    <w:basedOn w:val="Normal"/>
    <w:link w:val="BalloonTextChar"/>
    <w:uiPriority w:val="99"/>
    <w:semiHidden/>
    <w:unhideWhenUsed/>
    <w:rsid w:val="00D91834"/>
    <w:rPr>
      <w:rFonts w:ascii="Tahoma" w:hAnsi="Tahoma" w:cs="Tahoma"/>
      <w:sz w:val="16"/>
      <w:szCs w:val="16"/>
    </w:rPr>
  </w:style>
  <w:style w:type="character" w:customStyle="1" w:styleId="BalloonTextChar">
    <w:name w:val="Balloon Text Char"/>
    <w:basedOn w:val="DefaultParagraphFont"/>
    <w:link w:val="BalloonText"/>
    <w:uiPriority w:val="99"/>
    <w:semiHidden/>
    <w:rsid w:val="00D91834"/>
    <w:rPr>
      <w:rFonts w:ascii="Tahoma" w:eastAsia="SimSun" w:hAnsi="Tahoma" w:cs="Tahoma"/>
      <w:sz w:val="16"/>
      <w:szCs w:val="16"/>
      <w:lang w:val="en-US" w:eastAsia="zh-CN"/>
    </w:rPr>
  </w:style>
  <w:style w:type="paragraph" w:styleId="Caption">
    <w:name w:val="caption"/>
    <w:basedOn w:val="Normal"/>
    <w:next w:val="Normal"/>
    <w:uiPriority w:val="35"/>
    <w:unhideWhenUsed/>
    <w:qFormat/>
    <w:rsid w:val="00D91834"/>
    <w:pPr>
      <w:spacing w:after="200"/>
    </w:pPr>
    <w:rPr>
      <w:b/>
      <w:bCs/>
      <w:color w:val="4F81BD" w:themeColor="accent1"/>
      <w:sz w:val="18"/>
      <w:szCs w:val="18"/>
    </w:rPr>
  </w:style>
  <w:style w:type="character" w:styleId="Hyperlink">
    <w:name w:val="Hyperlink"/>
    <w:basedOn w:val="DefaultParagraphFont"/>
    <w:uiPriority w:val="99"/>
    <w:unhideWhenUsed/>
    <w:rsid w:val="00C479EA"/>
    <w:rPr>
      <w:color w:val="0000FF" w:themeColor="hyperlink"/>
      <w:u w:val="single"/>
    </w:rPr>
  </w:style>
  <w:style w:type="paragraph" w:styleId="Footer">
    <w:name w:val="footer"/>
    <w:basedOn w:val="Normal"/>
    <w:link w:val="FooterChar"/>
    <w:uiPriority w:val="99"/>
    <w:unhideWhenUsed/>
    <w:rsid w:val="005B0E40"/>
    <w:pPr>
      <w:tabs>
        <w:tab w:val="center" w:pos="4513"/>
        <w:tab w:val="right" w:pos="9026"/>
      </w:tabs>
    </w:pPr>
  </w:style>
  <w:style w:type="character" w:customStyle="1" w:styleId="FooterChar">
    <w:name w:val="Footer Char"/>
    <w:basedOn w:val="DefaultParagraphFont"/>
    <w:link w:val="Footer"/>
    <w:uiPriority w:val="99"/>
    <w:rsid w:val="005B0E40"/>
    <w:rPr>
      <w:rFonts w:ascii="Times New Roman" w:eastAsia="SimSun" w:hAnsi="Times New Roman" w:cs="Times New Roman"/>
      <w:sz w:val="24"/>
      <w:szCs w:val="24"/>
      <w:lang w:val="en-US" w:eastAsia="zh-CN"/>
    </w:rPr>
  </w:style>
  <w:style w:type="table" w:styleId="TableGrid">
    <w:name w:val="Table Grid"/>
    <w:basedOn w:val="TableNormal"/>
    <w:uiPriority w:val="59"/>
    <w:rsid w:val="00C6526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9561153">
      <w:bodyDiv w:val="1"/>
      <w:marLeft w:val="0"/>
      <w:marRight w:val="0"/>
      <w:marTop w:val="0"/>
      <w:marBottom w:val="0"/>
      <w:divBdr>
        <w:top w:val="none" w:sz="0" w:space="0" w:color="auto"/>
        <w:left w:val="none" w:sz="0" w:space="0" w:color="auto"/>
        <w:bottom w:val="none" w:sz="0" w:space="0" w:color="auto"/>
        <w:right w:val="none" w:sz="0" w:space="0" w:color="auto"/>
      </w:divBdr>
    </w:div>
    <w:div w:id="935401794">
      <w:bodyDiv w:val="1"/>
      <w:marLeft w:val="0"/>
      <w:marRight w:val="0"/>
      <w:marTop w:val="0"/>
      <w:marBottom w:val="0"/>
      <w:divBdr>
        <w:top w:val="none" w:sz="0" w:space="0" w:color="auto"/>
        <w:left w:val="none" w:sz="0" w:space="0" w:color="auto"/>
        <w:bottom w:val="none" w:sz="0" w:space="0" w:color="auto"/>
        <w:right w:val="none" w:sz="0" w:space="0" w:color="auto"/>
      </w:divBdr>
    </w:div>
    <w:div w:id="1587375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C22936-165A-4EFF-A505-3484C86ED2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1924</Words>
  <Characters>10971</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NEC Australia Pty Ltd</Company>
  <LinksUpToDate>false</LinksUpToDate>
  <CharactersWithSpaces>12870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NEC</dc:creator>
  <cp:lastModifiedBy>NEC</cp:lastModifiedBy>
  <cp:revision>2</cp:revision>
  <cp:lastPrinted>2015-05-15T03:49:00Z</cp:lastPrinted>
  <dcterms:created xsi:type="dcterms:W3CDTF">2015-08-14T04:50:00Z</dcterms:created>
  <dcterms:modified xsi:type="dcterms:W3CDTF">2015-08-14T04:50:00Z</dcterms:modified>
</cp:coreProperties>
</file>